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BF" w:rsidRDefault="00C208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2"/>
        <w:gridCol w:w="2210"/>
      </w:tblGrid>
      <w:tr w:rsidR="00C208BF">
        <w:tc>
          <w:tcPr>
            <w:tcW w:w="1476" w:type="dxa"/>
            <w:shd w:val="clear" w:color="auto" w:fill="auto"/>
          </w:tcPr>
          <w:p w:rsidR="00C208BF" w:rsidRDefault="007511AB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shd w:val="clear" w:color="auto" w:fill="auto"/>
          </w:tcPr>
          <w:p w:rsidR="00C208BF" w:rsidRDefault="00C208BF">
            <w:pPr>
              <w:jc w:val="center"/>
            </w:pPr>
          </w:p>
          <w:p w:rsidR="00C208BF" w:rsidRDefault="007511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C208BF" w:rsidRDefault="00C208BF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C208BF" w:rsidRDefault="007511A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0" w:type="dxa"/>
            <w:shd w:val="clear" w:color="auto" w:fill="auto"/>
          </w:tcPr>
          <w:p w:rsidR="00C208BF" w:rsidRDefault="00C208BF"/>
        </w:tc>
      </w:tr>
    </w:tbl>
    <w:p w:rsidR="00C208BF" w:rsidRDefault="00C208BF">
      <w:pPr>
        <w:jc w:val="center"/>
        <w:rPr>
          <w:b/>
          <w:highlight w:val="yellow"/>
        </w:rPr>
      </w:pPr>
    </w:p>
    <w:p w:rsidR="00C208BF" w:rsidRDefault="007511AB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C208BF" w:rsidRDefault="00C208BF">
      <w:pPr>
        <w:jc w:val="center"/>
        <w:rPr>
          <w:b/>
        </w:rPr>
      </w:pPr>
    </w:p>
    <w:p w:rsidR="00C208BF" w:rsidRDefault="007511AB">
      <w:pPr>
        <w:rPr>
          <w:b/>
        </w:rPr>
      </w:pPr>
      <w:r>
        <w:rPr>
          <w:b/>
        </w:rPr>
        <w:t>SCHEDA DIDATTICA</w:t>
      </w:r>
    </w:p>
    <w:p w:rsidR="00C208BF" w:rsidRDefault="007511AB">
      <w:pPr>
        <w:rPr>
          <w:color w:val="000000"/>
        </w:rPr>
      </w:pPr>
      <w:r>
        <w:rPr>
          <w:color w:val="000000"/>
        </w:rPr>
        <w:t>Corso integrato di Scienze Biomediche II, Presidente CI Prof. Francesco Trapasso C.F.U. 7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400"/>
        <w:gridCol w:w="3687"/>
        <w:gridCol w:w="1128"/>
      </w:tblGrid>
      <w:tr w:rsidR="00C208BF">
        <w:tc>
          <w:tcPr>
            <w:tcW w:w="1413" w:type="dxa"/>
          </w:tcPr>
          <w:p w:rsidR="00C208BF" w:rsidRDefault="007511AB">
            <w:r>
              <w:t>S.S.D.</w:t>
            </w:r>
          </w:p>
        </w:tc>
        <w:tc>
          <w:tcPr>
            <w:tcW w:w="3400" w:type="dxa"/>
          </w:tcPr>
          <w:p w:rsidR="00C208BF" w:rsidRDefault="007511AB">
            <w:r>
              <w:t>MODULO</w:t>
            </w:r>
          </w:p>
        </w:tc>
        <w:tc>
          <w:tcPr>
            <w:tcW w:w="3687" w:type="dxa"/>
          </w:tcPr>
          <w:p w:rsidR="00C208BF" w:rsidRDefault="007511AB">
            <w:r>
              <w:t>DOCENTE</w:t>
            </w:r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C.F.U.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BIO/09</w:t>
            </w:r>
          </w:p>
        </w:tc>
        <w:tc>
          <w:tcPr>
            <w:tcW w:w="3400" w:type="dxa"/>
          </w:tcPr>
          <w:p w:rsidR="00C208BF" w:rsidRDefault="007511AB">
            <w:r>
              <w:t>Fisiologia</w:t>
            </w:r>
          </w:p>
        </w:tc>
        <w:tc>
          <w:tcPr>
            <w:tcW w:w="3687" w:type="dxa"/>
          </w:tcPr>
          <w:p w:rsidR="00C208BF" w:rsidRDefault="007511AB">
            <w:r>
              <w:t>Prof.ssa Teresa Pasqua</w:t>
            </w:r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1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BIO/09</w:t>
            </w:r>
          </w:p>
        </w:tc>
        <w:tc>
          <w:tcPr>
            <w:tcW w:w="3400" w:type="dxa"/>
          </w:tcPr>
          <w:p w:rsidR="00C208BF" w:rsidRDefault="007511AB">
            <w:r>
              <w:t>Fisiologia</w:t>
            </w:r>
          </w:p>
        </w:tc>
        <w:tc>
          <w:tcPr>
            <w:tcW w:w="3687" w:type="dxa"/>
          </w:tcPr>
          <w:p w:rsidR="00C208BF" w:rsidRDefault="007511AB">
            <w:r>
              <w:t>Prof. Giuseppe Di Giovanni</w:t>
            </w:r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1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MED/03</w:t>
            </w:r>
          </w:p>
        </w:tc>
        <w:tc>
          <w:tcPr>
            <w:tcW w:w="3400" w:type="dxa"/>
          </w:tcPr>
          <w:p w:rsidR="00C208BF" w:rsidRDefault="007511AB">
            <w:r>
              <w:t>Genetica medica</w:t>
            </w:r>
          </w:p>
        </w:tc>
        <w:tc>
          <w:tcPr>
            <w:tcW w:w="3687" w:type="dxa"/>
          </w:tcPr>
          <w:p w:rsidR="00C208BF" w:rsidRDefault="00C208BF">
            <w:bookmarkStart w:id="0" w:name="_GoBack"/>
            <w:bookmarkEnd w:id="0"/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1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MED/04</w:t>
            </w:r>
          </w:p>
        </w:tc>
        <w:tc>
          <w:tcPr>
            <w:tcW w:w="3400" w:type="dxa"/>
          </w:tcPr>
          <w:p w:rsidR="00C208BF" w:rsidRDefault="007511AB">
            <w:r>
              <w:t>Patologia generale</w:t>
            </w:r>
          </w:p>
        </w:tc>
        <w:tc>
          <w:tcPr>
            <w:tcW w:w="3687" w:type="dxa"/>
          </w:tcPr>
          <w:p w:rsidR="00C208BF" w:rsidRDefault="007511AB">
            <w:r>
              <w:t>Prof. Francesco Trapasso</w:t>
            </w:r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2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MED/05</w:t>
            </w:r>
          </w:p>
        </w:tc>
        <w:tc>
          <w:tcPr>
            <w:tcW w:w="3400" w:type="dxa"/>
          </w:tcPr>
          <w:p w:rsidR="00C208BF" w:rsidRDefault="007511AB">
            <w:r>
              <w:t>Patologia clinica</w:t>
            </w:r>
          </w:p>
        </w:tc>
        <w:tc>
          <w:tcPr>
            <w:tcW w:w="3687" w:type="dxa"/>
          </w:tcPr>
          <w:p w:rsidR="00C208BF" w:rsidRDefault="007511AB">
            <w:r>
              <w:t>Prof.ssa Marta Greco</w:t>
            </w:r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1</w:t>
            </w:r>
          </w:p>
        </w:tc>
      </w:tr>
      <w:tr w:rsidR="00C208BF">
        <w:tc>
          <w:tcPr>
            <w:tcW w:w="1413" w:type="dxa"/>
          </w:tcPr>
          <w:p w:rsidR="00C208BF" w:rsidRDefault="007511AB">
            <w:r>
              <w:t>MED/08</w:t>
            </w:r>
          </w:p>
        </w:tc>
        <w:tc>
          <w:tcPr>
            <w:tcW w:w="3400" w:type="dxa"/>
          </w:tcPr>
          <w:p w:rsidR="00C208BF" w:rsidRDefault="007511AB">
            <w:r>
              <w:t>Anatomia patologica</w:t>
            </w:r>
          </w:p>
        </w:tc>
        <w:tc>
          <w:tcPr>
            <w:tcW w:w="3687" w:type="dxa"/>
          </w:tcPr>
          <w:p w:rsidR="00C208BF" w:rsidRDefault="007511AB">
            <w:r>
              <w:t xml:space="preserve">Prof.ssa </w:t>
            </w:r>
            <w:proofErr w:type="spellStart"/>
            <w:r>
              <w:t>Mignogna</w:t>
            </w:r>
            <w:proofErr w:type="spellEnd"/>
          </w:p>
        </w:tc>
        <w:tc>
          <w:tcPr>
            <w:tcW w:w="1128" w:type="dxa"/>
          </w:tcPr>
          <w:p w:rsidR="00C208BF" w:rsidRDefault="007511AB">
            <w:pPr>
              <w:jc w:val="center"/>
            </w:pPr>
            <w:r>
              <w:t>1</w:t>
            </w:r>
          </w:p>
        </w:tc>
      </w:tr>
    </w:tbl>
    <w:p w:rsidR="00C208BF" w:rsidRDefault="00C208BF">
      <w:pPr>
        <w:rPr>
          <w:highlight w:val="yellow"/>
        </w:rPr>
      </w:pPr>
    </w:p>
    <w:p w:rsidR="00C208BF" w:rsidRDefault="007511AB">
      <w:pPr>
        <w:jc w:val="center"/>
        <w:rPr>
          <w:b/>
        </w:rPr>
      </w:pPr>
      <w:r>
        <w:rPr>
          <w:b/>
        </w:rPr>
        <w:t>OBBIETTIVI FORMATIVI E RISULTATI DI APPRENDIMENTO ATTESI</w:t>
      </w:r>
    </w:p>
    <w:p w:rsidR="00C208BF" w:rsidRDefault="007511AB">
      <w:pPr>
        <w:jc w:val="both"/>
      </w:pPr>
      <w:r>
        <w:rPr>
          <w:b/>
        </w:rPr>
        <w:t>OBBIETTIVI FORMATIVI</w:t>
      </w:r>
      <w:r>
        <w:t>:  i</w:t>
      </w:r>
      <w:r>
        <w:rPr>
          <w:rFonts w:ascii="Palatino Linotype" w:eastAsia="Palatino Linotype" w:hAnsi="Palatino Linotype" w:cs="Palatino Linotype"/>
        </w:rPr>
        <w:t>l corso integrato fornisce agli studenti una visione globale ed integrata delle scienze biomediche applicate alla professione infermieristica ed ha l’obiettivo di fornire le basi teoriche e pratiche necessarie per comprendere i processi fisiologici (mediante l’acquisizione delle conoscenze sulle funzioni normali degli organi e dei sistemi del corpo umano), patologici (mediante l’acquisizione dei principali processi patologici di base) e genetici (mediante l’acquisizione dei principi di base della genetica medica) che influenzano lo stato di salute e di malattia del paziente. Il corso integrato consentirà, altresì, di acquisire il significato delle principali tecniche di diagnostica clinica di laboratorio con l’interpretazione dei parametri ematochimici e biomolecolari essenziali per la diagnosi e il monitoraggio delle malattie, nonché la conoscenza dell’importanza del ruolo delle alterazioni di cellule e tessuti finalizzata alla definizione di diagnosi, prognosi e terapia.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Conoscenza e capacità di comprensione</w:t>
      </w:r>
      <w:r>
        <w:rPr>
          <w:rFonts w:ascii="Palatino Linotype" w:eastAsia="Palatino Linotype" w:hAnsi="Palatino Linotype" w:cs="Palatino Linotype"/>
        </w:rPr>
        <w:t xml:space="preserve">: al termine del corso integrato, lo studente dovrà sviluppare la capacità di: integrare le conoscenze teoriche con la pratica clinica infermieristica, interpretando i risultati diagnostici in modo critico; acquisire la capacità di lavorare in team multidisciplinari, collaborando con altre figure sanitarie nella gestione del paziente; di utilizzare un approccio scientifico e aggiornato per la comprensione delle malattie e delle tecniche diagnostiche. Attraverso questo percorso, lo studente sarà in grado di riconoscere i segni e i sintomi delle malattie, </w:t>
      </w:r>
      <w:r>
        <w:rPr>
          <w:rFonts w:ascii="Palatino Linotype" w:eastAsia="Palatino Linotype" w:hAnsi="Palatino Linotype" w:cs="Palatino Linotype"/>
        </w:rPr>
        <w:lastRenderedPageBreak/>
        <w:t>supportare i processi diagnostici e terapeutici e promuovere un’assistenza infermieristica basata su evidenze scientifiche.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 xml:space="preserve">Capacità di applicare conoscenza e comprensione: </w:t>
      </w:r>
      <w:r>
        <w:rPr>
          <w:rFonts w:ascii="Palatino Linotype" w:eastAsia="Palatino Linotype" w:hAnsi="Palatino Linotype" w:cs="Palatino Linotype"/>
        </w:rPr>
        <w:t>Applicare le competenze acquisite nell'ambito clinico, assistendo il paziente avendo presente teorie/modelli/strutture ed evidenze scientifiche sempre aggiornate; assicurandosi che ogni azione sia eticamente e deontologicamente necessaria.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Autonomia di giudizio:</w:t>
      </w:r>
      <w:r>
        <w:rPr>
          <w:rFonts w:ascii="Palatino Linotype" w:eastAsia="Palatino Linotype" w:hAnsi="Palatino Linotype" w:cs="Palatino Linotype"/>
        </w:rPr>
        <w:t xml:space="preserve"> Utilizzare le conoscenze acquisite e farvi riferimento ogni qual volta necessario al fine di valutare e giudicare appropriatamente un processo, una situazione o attività nel contesto di riferimento.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Abilità comunicative</w:t>
      </w:r>
      <w:r>
        <w:rPr>
          <w:rFonts w:ascii="Palatino Linotype" w:eastAsia="Palatino Linotype" w:hAnsi="Palatino Linotype" w:cs="Palatino Linotype"/>
        </w:rPr>
        <w:t>: Comunicare in modo chiaro e preciso i propri pensieri, avvalendosi di un linguaggio appropriato per argomentare con pertinenza e padronanza il messaggio (sia orale che scritto) nelle relazioni interpersonali e interdisciplinari. Tutto ciò, tenendo conto del livello di istruzione e capacità di comprensione del proprio interlocutore.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Capacità di apprendimento:</w:t>
      </w:r>
      <w:r>
        <w:rPr>
          <w:rFonts w:ascii="Palatino Linotype" w:eastAsia="Palatino Linotype" w:hAnsi="Palatino Linotype" w:cs="Palatino Linotype"/>
        </w:rPr>
        <w:t xml:space="preserve"> Sviluppare capacità di apprendimento autonome, individuare gli ambiti di miglioramento e provvedere nel colmare le proprie lacune.</w:t>
      </w:r>
    </w:p>
    <w:p w:rsidR="00C208BF" w:rsidRDefault="007511AB">
      <w:pPr>
        <w:jc w:val="center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PROGRAMMA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Principi di fisiologia cellulare, del sistema nervoso, endocrino, cardiovascolare e renale. </w:t>
      </w:r>
      <w:r>
        <w:rPr>
          <w:rFonts w:ascii="Palatino Linotype" w:eastAsia="Palatino Linotype" w:hAnsi="Palatino Linotype" w:cs="Palatino Linotype"/>
        </w:rPr>
        <w:t xml:space="preserve">Esame chimico-fisico delle urine e del sedimento. </w:t>
      </w:r>
      <w:r>
        <w:rPr>
          <w:rFonts w:ascii="Palatino Linotype" w:eastAsia="Palatino Linotype" w:hAnsi="Palatino Linotype" w:cs="Palatino Linotype"/>
          <w:color w:val="000000"/>
        </w:rPr>
        <w:t xml:space="preserve">Respirazione e scambio gassoso. Digestione e assorbimento. </w:t>
      </w:r>
      <w:r>
        <w:rPr>
          <w:rFonts w:ascii="Palatino Linotype" w:eastAsia="Palatino Linotype" w:hAnsi="Palatino Linotype" w:cs="Palatino Linotype"/>
        </w:rPr>
        <w:t xml:space="preserve">Indagini di laboratorio per lo studio della fisiopatologia del sistema endocrino e del metabolismo (diabete mellito). </w:t>
      </w:r>
      <w:r>
        <w:rPr>
          <w:rFonts w:ascii="Palatino Linotype" w:eastAsia="Palatino Linotype" w:hAnsi="Palatino Linotype" w:cs="Palatino Linotype"/>
          <w:color w:val="000000"/>
        </w:rPr>
        <w:t xml:space="preserve">Funzioni muscolari. </w:t>
      </w:r>
      <w:r>
        <w:rPr>
          <w:rFonts w:ascii="Palatino Linotype" w:eastAsia="Palatino Linotype" w:hAnsi="Palatino Linotype" w:cs="Palatino Linotype"/>
        </w:rPr>
        <w:t xml:space="preserve">Flussi di lavoro del laboratorio: fase </w:t>
      </w:r>
      <w:proofErr w:type="spellStart"/>
      <w:r>
        <w:rPr>
          <w:rFonts w:ascii="Palatino Linotype" w:eastAsia="Palatino Linotype" w:hAnsi="Palatino Linotype" w:cs="Palatino Linotype"/>
        </w:rPr>
        <w:t>pre</w:t>
      </w:r>
      <w:proofErr w:type="spellEnd"/>
      <w:r>
        <w:rPr>
          <w:rFonts w:ascii="Palatino Linotype" w:eastAsia="Palatino Linotype" w:hAnsi="Palatino Linotype" w:cs="Palatino Linotype"/>
        </w:rPr>
        <w:t xml:space="preserve">-analitica, analitica e post-analitica. Appropriatezza della richiesta analitica, del prelievo e dell’indagine di laboratorio. Test di screening. Test routinari. Valori normali e valori di riferimento. Criteri di interpretazione dei dati di laboratorio. Caratteristiche del metodo analitico: accuratezza, precisione, specificità e sensibilità analitica. Sistema qualità nel laboratorio biomedico. Genetica molecolare. Principi di genetica generale e modalità di trasmissione ereditaria. Gruppi sanguigni. Indagini di laboratorio per lo studio della fisiopatologia del sangue: esame emocromocitometrico e formula leucocitaria. Alterazioni cromosomiche. Malattie geniche e analisi di pedigree. Malattie da genetiche a trasmissione non mendeliana. La consulenza genetica. </w:t>
      </w:r>
      <w:r>
        <w:rPr>
          <w:rFonts w:ascii="Palatino Linotype" w:eastAsia="Palatino Linotype" w:hAnsi="Palatino Linotype" w:cs="Palatino Linotype"/>
          <w:color w:val="000000"/>
        </w:rPr>
        <w:t xml:space="preserve">Adattamenti cellulari. Danno cellulare. Morte cellulare. </w:t>
      </w:r>
      <w:r>
        <w:rPr>
          <w:rFonts w:ascii="Palatino Linotype" w:eastAsia="Palatino Linotype" w:hAnsi="Palatino Linotype" w:cs="Palatino Linotype"/>
        </w:rPr>
        <w:t xml:space="preserve">Indagini di laboratorio per lo studio della fisiopatologia della coagulazione e fibrinolisi. </w:t>
      </w:r>
      <w:r>
        <w:rPr>
          <w:rFonts w:ascii="Palatino Linotype" w:eastAsia="Palatino Linotype" w:hAnsi="Palatino Linotype" w:cs="Palatino Linotype"/>
          <w:color w:val="000000"/>
        </w:rPr>
        <w:t xml:space="preserve">Infiammazione acuta e cronica. Febbre. Riparo. Sistema immunitario. </w:t>
      </w:r>
      <w:r>
        <w:rPr>
          <w:rFonts w:ascii="Palatino Linotype" w:eastAsia="Palatino Linotype" w:hAnsi="Palatino Linotype" w:cs="Palatino Linotype"/>
        </w:rPr>
        <w:t xml:space="preserve">Indagini di laboratorio per lo studio della fisiopatologia del sistema immunitario. </w:t>
      </w:r>
      <w:r>
        <w:rPr>
          <w:rFonts w:ascii="Palatino Linotype" w:eastAsia="Palatino Linotype" w:hAnsi="Palatino Linotype" w:cs="Palatino Linotype"/>
          <w:color w:val="000000"/>
        </w:rPr>
        <w:t xml:space="preserve">Principi di oncologia. </w:t>
      </w:r>
      <w:r>
        <w:rPr>
          <w:rFonts w:ascii="Palatino Linotype" w:eastAsia="Palatino Linotype" w:hAnsi="Palatino Linotype" w:cs="Palatino Linotype"/>
        </w:rPr>
        <w:t xml:space="preserve">Generalità sulla genetica dei tumori. Campioni citologici: la diagnostica citologica. Campioni istologici: la diagnostica istologica (tipi di biopsie, campioni operatori). Organizzazione del laboratorio di anatomia patologica. Caratteristiche anatomopatologiche generali delle neoplasie benigne e maligne. Concetti di </w:t>
      </w:r>
      <w:proofErr w:type="spellStart"/>
      <w:r>
        <w:rPr>
          <w:rFonts w:ascii="Palatino Linotype" w:eastAsia="Palatino Linotype" w:hAnsi="Palatino Linotype" w:cs="Palatino Linotype"/>
        </w:rPr>
        <w:t>stadiazione</w:t>
      </w:r>
      <w:proofErr w:type="spellEnd"/>
      <w:r>
        <w:rPr>
          <w:rFonts w:ascii="Palatino Linotype" w:eastAsia="Palatino Linotype" w:hAnsi="Palatino Linotype" w:cs="Palatino Linotype"/>
        </w:rPr>
        <w:t xml:space="preserve"> e </w:t>
      </w:r>
      <w:proofErr w:type="spellStart"/>
      <w:r>
        <w:rPr>
          <w:rFonts w:ascii="Palatino Linotype" w:eastAsia="Palatino Linotype" w:hAnsi="Palatino Linotype" w:cs="Palatino Linotype"/>
        </w:rPr>
        <w:t>grading</w:t>
      </w:r>
      <w:proofErr w:type="spellEnd"/>
      <w:r>
        <w:rPr>
          <w:rFonts w:ascii="Palatino Linotype" w:eastAsia="Palatino Linotype" w:hAnsi="Palatino Linotype" w:cs="Palatino Linotype"/>
        </w:rPr>
        <w:t xml:space="preserve"> istologico. Esame estemporaneo. Linfonodo sentinella. Tecniche ancillari (istochimica, immunoistochimica, tecniche molecolari) aspetti applicativi delle metodiche di patologia molecolare. Il riscontro diagnostico necroscopico. </w:t>
      </w:r>
    </w:p>
    <w:p w:rsidR="00C208BF" w:rsidRDefault="00C208BF">
      <w:pPr>
        <w:jc w:val="center"/>
        <w:rPr>
          <w:rFonts w:ascii="Palatino Linotype" w:eastAsia="Palatino Linotype" w:hAnsi="Palatino Linotype" w:cs="Palatino Linotype"/>
        </w:rPr>
      </w:pPr>
    </w:p>
    <w:p w:rsidR="00C208BF" w:rsidRDefault="007511AB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MODALITA’ E CRITERI DI VERIFICA ED APPRENDIMENTO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Al termine delle lezioni frontali verrà erogato un test di autovalutazione che verterà sulle tematiche programmate degli insegnamenti che compongono il corso integrato. La metodologia sarà </w:t>
      </w:r>
      <w:r>
        <w:rPr>
          <w:rFonts w:ascii="Palatino Linotype" w:eastAsia="Palatino Linotype" w:hAnsi="Palatino Linotype" w:cs="Palatino Linotype"/>
        </w:rPr>
        <w:lastRenderedPageBreak/>
        <w:t>comunicata all'inizio delle lezioni insieme alla bibliografia e/o ai materiali didattici necessari alla preparazione per la valutazione finale.</w:t>
      </w:r>
    </w:p>
    <w:p w:rsidR="00C208BF" w:rsidRDefault="007511AB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L’esame finale verterà su una prova orale basata su domande inerenti i programmi di studio. La Commissione valuterà la capacità dello studente di aver acquisito le conoscenze relative ai contenuti degli insegnamenti e le loro integrazioni e accerterà l'uso appropriato della terminologia.</w:t>
      </w:r>
    </w:p>
    <w:p w:rsidR="00C208BF" w:rsidRDefault="00C208BF">
      <w:pPr>
        <w:rPr>
          <w:color w:val="FF0000"/>
          <w:highlight w:val="yellow"/>
        </w:rPr>
      </w:pPr>
    </w:p>
    <w:p w:rsidR="00C208BF" w:rsidRDefault="007511AB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 criteri sulla base dei quali sarà giudicato lo studente sono:</w:t>
      </w:r>
    </w:p>
    <w:tbl>
      <w:tblPr>
        <w:tblStyle w:val="a1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0"/>
        <w:gridCol w:w="2722"/>
        <w:gridCol w:w="2307"/>
        <w:gridCol w:w="2311"/>
      </w:tblGrid>
      <w:tr w:rsidR="00C208BF">
        <w:tc>
          <w:tcPr>
            <w:tcW w:w="2180" w:type="dxa"/>
          </w:tcPr>
          <w:p w:rsidR="00C208BF" w:rsidRDefault="00C208BF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Conoscenza e comprensione argomento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Capacità di analisi e sintesi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Utilizzo di referenze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Non idoneo</w:t>
            </w:r>
          </w:p>
        </w:tc>
        <w:tc>
          <w:tcPr>
            <w:tcW w:w="2722" w:type="dxa"/>
          </w:tcPr>
          <w:p w:rsidR="00C208BF" w:rsidRDefault="007511AB">
            <w:pPr>
              <w:ind w:left="139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Importanti carenze.</w:t>
            </w:r>
          </w:p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Significative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inaccuratezze</w:t>
            </w:r>
            <w:proofErr w:type="spellEnd"/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Irrilevanti. Frequenti generalizzazioni. Incapacità di sintesi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Completamente inappropriato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18-20</w:t>
            </w: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 livello soglia. Imperfezioni evidenti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Capacità appena sufficienti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Appena appropriato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21-23</w:t>
            </w: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Conoscenza routinaria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E’ in grado di analisi e sintesi corrette. Argomenta in modo logico e coerente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Utilizza le referenze standard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24-26</w:t>
            </w: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Conoscenza buona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Ha capacità di a. e s. buone gli argomenti sono espressi coerentemente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Utilizza le referenze standard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27-29</w:t>
            </w: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Conoscenza più che buona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Ha notevoli capacità di a. e s.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Ha approfondito gli argomenti</w:t>
            </w:r>
          </w:p>
        </w:tc>
      </w:tr>
      <w:tr w:rsidR="00C208BF">
        <w:tc>
          <w:tcPr>
            <w:tcW w:w="2180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30-30L</w:t>
            </w:r>
          </w:p>
        </w:tc>
        <w:tc>
          <w:tcPr>
            <w:tcW w:w="2722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Conoscenza ottima</w:t>
            </w:r>
          </w:p>
        </w:tc>
        <w:tc>
          <w:tcPr>
            <w:tcW w:w="2307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Ha notevoli capacità di a. e s.</w:t>
            </w:r>
          </w:p>
        </w:tc>
        <w:tc>
          <w:tcPr>
            <w:tcW w:w="2311" w:type="dxa"/>
          </w:tcPr>
          <w:p w:rsidR="00C208BF" w:rsidRDefault="007511AB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Importanti approfondimenti</w:t>
            </w:r>
          </w:p>
        </w:tc>
      </w:tr>
    </w:tbl>
    <w:p w:rsidR="00C208BF" w:rsidRDefault="00C208BF">
      <w:pPr>
        <w:jc w:val="both"/>
        <w:rPr>
          <w:rFonts w:ascii="Palatino Linotype" w:eastAsia="Palatino Linotype" w:hAnsi="Palatino Linotype" w:cs="Palatino Linotype"/>
          <w:color w:val="FF0000"/>
          <w:highlight w:val="yellow"/>
        </w:rPr>
      </w:pPr>
    </w:p>
    <w:p w:rsidR="00C208BF" w:rsidRDefault="007511AB">
      <w:pPr>
        <w:jc w:val="center"/>
        <w:rPr>
          <w:b/>
        </w:rPr>
      </w:pPr>
      <w:r>
        <w:rPr>
          <w:b/>
        </w:rPr>
        <w:t>TESTI ADOTTATI</w:t>
      </w:r>
    </w:p>
    <w:p w:rsidR="00C208BF" w:rsidRDefault="007511AB">
      <w:pPr>
        <w:rPr>
          <w:color w:val="000000"/>
        </w:rPr>
      </w:pPr>
      <w:r>
        <w:rPr>
          <w:color w:val="000000"/>
        </w:rPr>
        <w:t>Fisiologia -Costanzo, Edra</w:t>
      </w:r>
    </w:p>
    <w:p w:rsidR="00C208BF" w:rsidRDefault="007511AB">
      <w:pPr>
        <w:rPr>
          <w:color w:val="000000"/>
        </w:rPr>
      </w:pPr>
      <w:r>
        <w:rPr>
          <w:color w:val="000000"/>
        </w:rPr>
        <w:t>Robbins - Elementi di Patologia e di Fisiopatologia, EDRA, 2024 (*)</w:t>
      </w:r>
    </w:p>
    <w:p w:rsidR="00C208BF" w:rsidRDefault="007511AB">
      <w:pPr>
        <w:rPr>
          <w:color w:val="000000"/>
        </w:rPr>
      </w:pPr>
      <w:r>
        <w:rPr>
          <w:color w:val="000000"/>
        </w:rPr>
        <w:t>Genetica; qualunque testo affronti gli argomenti in programma.</w:t>
      </w:r>
    </w:p>
    <w:p w:rsidR="00C208BF" w:rsidRDefault="007511AB">
      <w:pPr>
        <w:rPr>
          <w:color w:val="000000"/>
        </w:rPr>
      </w:pPr>
      <w:r>
        <w:rPr>
          <w:color w:val="000000"/>
        </w:rPr>
        <w:t>Medicina di Laboratorio – Federici. McGraw-Hill, 2014</w:t>
      </w:r>
    </w:p>
    <w:p w:rsidR="00C208BF" w:rsidRDefault="007511AB">
      <w:pPr>
        <w:rPr>
          <w:color w:val="000000"/>
        </w:rPr>
      </w:pPr>
      <w:r>
        <w:rPr>
          <w:color w:val="000000"/>
        </w:rPr>
        <w:t xml:space="preserve">Anatomia patologica – Le basi. </w:t>
      </w:r>
      <w:proofErr w:type="spellStart"/>
      <w:r>
        <w:rPr>
          <w:color w:val="000000"/>
        </w:rPr>
        <w:t>Ruco</w:t>
      </w:r>
      <w:proofErr w:type="spellEnd"/>
      <w:r>
        <w:rPr>
          <w:color w:val="000000"/>
        </w:rPr>
        <w:t>, Scarpa. Utet</w:t>
      </w:r>
    </w:p>
    <w:p w:rsidR="00C208BF" w:rsidRDefault="00C208BF">
      <w:pPr>
        <w:rPr>
          <w:color w:val="000000"/>
        </w:rPr>
      </w:pPr>
    </w:p>
    <w:p w:rsidR="00C208BF" w:rsidRDefault="007511AB">
      <w:pPr>
        <w:rPr>
          <w:color w:val="000000"/>
        </w:rPr>
      </w:pPr>
      <w:r>
        <w:rPr>
          <w:color w:val="000000"/>
        </w:rPr>
        <w:lastRenderedPageBreak/>
        <w:t>(*) oltre al materiale fornito dal docente, gli studenti potranno utilizzare qualunque testo recente di Patologia generale per le Professioni sanitarie.</w:t>
      </w:r>
    </w:p>
    <w:p w:rsidR="00C208BF" w:rsidRDefault="00C208BF">
      <w:pPr>
        <w:rPr>
          <w:color w:val="FF0000"/>
          <w:highlight w:val="yellow"/>
        </w:rPr>
      </w:pPr>
    </w:p>
    <w:p w:rsidR="00C208BF" w:rsidRDefault="007511AB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MODALITÀ DI FREQUENZA</w:t>
      </w:r>
    </w:p>
    <w:p w:rsidR="00C208BF" w:rsidRDefault="007511AB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Prerequisito: ===</w:t>
      </w:r>
    </w:p>
    <w:p w:rsidR="00C208BF" w:rsidRDefault="007511AB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Svolgimento: Le modalità sono indicate dall’art.8 del Regolamento didattico d’Ateneo.</w:t>
      </w:r>
    </w:p>
    <w:p w:rsidR="00C208BF" w:rsidRDefault="007511AB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Frequenza: Frequenza obbligatoria di almeno il 75% del monte ore complessivo.</w:t>
      </w:r>
    </w:p>
    <w:p w:rsidR="00C208BF" w:rsidRDefault="00C208BF">
      <w:pPr>
        <w:rPr>
          <w:rFonts w:ascii="Palatino Linotype" w:eastAsia="Palatino Linotype" w:hAnsi="Palatino Linotype" w:cs="Palatino Linotype"/>
          <w:highlight w:val="yellow"/>
        </w:rPr>
      </w:pPr>
    </w:p>
    <w:p w:rsidR="00C208BF" w:rsidRDefault="007511AB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RIFERIMENTI E CONTATTI</w:t>
      </w:r>
    </w:p>
    <w:tbl>
      <w:tblPr>
        <w:tblStyle w:val="a2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591"/>
        <w:gridCol w:w="3207"/>
      </w:tblGrid>
      <w:tr w:rsidR="00C208BF">
        <w:tc>
          <w:tcPr>
            <w:tcW w:w="2830" w:type="dxa"/>
          </w:tcPr>
          <w:p w:rsidR="00C208BF" w:rsidRDefault="00751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3591" w:type="dxa"/>
          </w:tcPr>
          <w:p w:rsidR="00C208BF" w:rsidRDefault="00751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MODALITA’</w:t>
            </w:r>
          </w:p>
        </w:tc>
        <w:tc>
          <w:tcPr>
            <w:tcW w:w="3207" w:type="dxa"/>
          </w:tcPr>
          <w:p w:rsidR="00C208BF" w:rsidRDefault="007511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CONTATTI</w:t>
            </w:r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Prof.ssa T. Pasqua</w:t>
            </w:r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Tutti i giorni previo appuntamento</w:t>
            </w: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0961-369 4290</w:t>
            </w:r>
          </w:p>
          <w:p w:rsidR="00C208BF" w:rsidRDefault="00CD0B23">
            <w:pPr>
              <w:rPr>
                <w:color w:val="000000"/>
              </w:rPr>
            </w:pPr>
            <w:hyperlink r:id="rId6">
              <w:r w:rsidR="007511AB">
                <w:rPr>
                  <w:color w:val="000000"/>
                </w:rPr>
                <w:t>teresa.pasqua@unicz.it</w:t>
              </w:r>
            </w:hyperlink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Prof. G. Di Giovanni</w:t>
            </w:r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Tutti i giorni previo appuntamento</w:t>
            </w: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0961-369 4196</w:t>
            </w:r>
          </w:p>
          <w:p w:rsidR="00C208BF" w:rsidRDefault="00CD0B23">
            <w:pPr>
              <w:rPr>
                <w:color w:val="000000"/>
              </w:rPr>
            </w:pPr>
            <w:hyperlink r:id="rId7">
              <w:r w:rsidR="007511AB">
                <w:rPr>
                  <w:color w:val="000000"/>
                </w:rPr>
                <w:t>giuseppe.digiovanni@unicz.it</w:t>
              </w:r>
            </w:hyperlink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Prof.ssa L. D’Antona</w:t>
            </w:r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Tutti i giorni previo appuntamento</w:t>
            </w: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0961-369 4084</w:t>
            </w:r>
          </w:p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dantona@unicz.it</w:t>
            </w:r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Prof. F. Trapasso</w:t>
            </w:r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Tutti i giorni previo appuntamento</w:t>
            </w: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0961-369 4089</w:t>
            </w:r>
          </w:p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trapasso@unicz.it</w:t>
            </w:r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Prof.ssa M. Greco</w:t>
            </w:r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Martedì 10,00-12,00 previo appuntamento</w:t>
            </w: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t>0961-3647243</w:t>
            </w:r>
          </w:p>
          <w:p w:rsidR="00C208BF" w:rsidRDefault="00CD0B23">
            <w:pPr>
              <w:rPr>
                <w:color w:val="000000"/>
              </w:rPr>
            </w:pPr>
            <w:hyperlink r:id="rId8">
              <w:r w:rsidR="007511AB">
                <w:rPr>
                  <w:color w:val="000000"/>
                </w:rPr>
                <w:t>marta.greco@unicz.it</w:t>
              </w:r>
            </w:hyperlink>
          </w:p>
        </w:tc>
      </w:tr>
      <w:tr w:rsidR="00C208BF">
        <w:tc>
          <w:tcPr>
            <w:tcW w:w="2830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Prof.ssa C. </w:t>
            </w:r>
            <w:proofErr w:type="spellStart"/>
            <w:r>
              <w:rPr>
                <w:color w:val="000000"/>
              </w:rPr>
              <w:t>Mignogna</w:t>
            </w:r>
            <w:proofErr w:type="spellEnd"/>
          </w:p>
        </w:tc>
        <w:tc>
          <w:tcPr>
            <w:tcW w:w="3591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Tutti i giorni previo appuntamento</w:t>
            </w:r>
          </w:p>
          <w:p w:rsidR="00C208BF" w:rsidRDefault="00C208BF">
            <w:pPr>
              <w:rPr>
                <w:color w:val="000000"/>
              </w:rPr>
            </w:pPr>
          </w:p>
        </w:tc>
        <w:tc>
          <w:tcPr>
            <w:tcW w:w="3207" w:type="dxa"/>
          </w:tcPr>
          <w:p w:rsidR="00C208BF" w:rsidRDefault="007511A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208BF" w:rsidRDefault="00CD0B23">
            <w:pPr>
              <w:rPr>
                <w:color w:val="000000"/>
              </w:rPr>
            </w:pPr>
            <w:hyperlink r:id="rId9">
              <w:r w:rsidR="007511AB">
                <w:rPr>
                  <w:color w:val="000000"/>
                </w:rPr>
                <w:t>mignogna@unicz.it</w:t>
              </w:r>
            </w:hyperlink>
          </w:p>
        </w:tc>
      </w:tr>
    </w:tbl>
    <w:p w:rsidR="00C208BF" w:rsidRDefault="00C208BF">
      <w:pPr>
        <w:rPr>
          <w:color w:val="FF0000"/>
        </w:rPr>
      </w:pPr>
    </w:p>
    <w:p w:rsidR="00C208BF" w:rsidRDefault="00C208BF">
      <w:pPr>
        <w:rPr>
          <w:color w:val="FF0000"/>
        </w:rPr>
      </w:pPr>
    </w:p>
    <w:p w:rsidR="00C208BF" w:rsidRDefault="00C208BF">
      <w:pPr>
        <w:rPr>
          <w:color w:val="FF0000"/>
        </w:rPr>
      </w:pPr>
    </w:p>
    <w:sectPr w:rsidR="00C208B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BF"/>
    <w:rsid w:val="007511AB"/>
    <w:rsid w:val="00C208BF"/>
    <w:rsid w:val="00C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872B7-0CB3-40A6-98C8-CC6CB84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6C0F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F6C0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greco@unic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seppe.digiovanni@unic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sa.pasqua@unicz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gnogna@unicz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hvfselmfgvxcjfnECQmoTBXzQ==">CgMxLjA4AHIhMXhrM05rOFZsS2I4azlvN0JTV0tJR0wzcEx2aVNHd3Br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3</cp:revision>
  <dcterms:created xsi:type="dcterms:W3CDTF">2024-11-14T14:05:00Z</dcterms:created>
  <dcterms:modified xsi:type="dcterms:W3CDTF">2025-03-13T14:53:00Z</dcterms:modified>
</cp:coreProperties>
</file>