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ED2D" w14:textId="77777777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color w:val="0070C0"/>
          <w:sz w:val="24"/>
          <w:szCs w:val="24"/>
        </w:rPr>
      </w:pPr>
      <w:r w:rsidRPr="001E1FD6">
        <w:rPr>
          <w:rFonts w:ascii="Arial" w:hAnsi="Arial" w:cs="Arial"/>
        </w:rPr>
        <w:t>CORSO DI STUDIO: CdLM - Scienze delle Professioni Sanitarie Tecniche Diagnostiche</w:t>
      </w:r>
    </w:p>
    <w:p w14:paraId="16CBC485" w14:textId="1CF942E5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color w:val="0070C0"/>
          <w:sz w:val="24"/>
          <w:szCs w:val="24"/>
        </w:rPr>
      </w:pPr>
      <w:r w:rsidRPr="001E1FD6">
        <w:rPr>
          <w:rFonts w:ascii="Arial" w:hAnsi="Arial" w:cs="Arial"/>
        </w:rPr>
        <w:t>ANNO ACCADEMICO: 202</w:t>
      </w:r>
      <w:r w:rsidR="001D5F82">
        <w:rPr>
          <w:rFonts w:ascii="Arial" w:hAnsi="Arial" w:cs="Arial"/>
        </w:rPr>
        <w:t>5</w:t>
      </w:r>
      <w:r w:rsidRPr="001E1FD6">
        <w:rPr>
          <w:rFonts w:ascii="Arial" w:hAnsi="Arial" w:cs="Arial"/>
        </w:rPr>
        <w:t>-202</w:t>
      </w:r>
      <w:r w:rsidR="001D5F82">
        <w:rPr>
          <w:rFonts w:ascii="Arial" w:hAnsi="Arial" w:cs="Arial"/>
        </w:rPr>
        <w:t>6</w:t>
      </w:r>
    </w:p>
    <w:p w14:paraId="23D49A8A" w14:textId="4EB06002" w:rsidR="00932D6C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</w:rPr>
      </w:pPr>
      <w:r w:rsidRPr="001E1FD6">
        <w:rPr>
          <w:rFonts w:ascii="Arial" w:hAnsi="Arial" w:cs="Arial"/>
        </w:rPr>
        <w:t xml:space="preserve">DENOMINAZIONE DELL’INSEGNAMENTO: C.I. Scienze e Tecniche Audiometriche (4 CFU) </w:t>
      </w:r>
    </w:p>
    <w:p w14:paraId="223EEEBF" w14:textId="5AF5D40B" w:rsidR="00A04F70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i/>
          <w:iCs/>
          <w:color w:val="0070C0"/>
          <w:sz w:val="24"/>
          <w:szCs w:val="24"/>
        </w:rPr>
      </w:pPr>
      <w:r w:rsidRPr="001E1FD6">
        <w:rPr>
          <w:rFonts w:ascii="Arial" w:hAnsi="Arial" w:cs="Arial"/>
        </w:rPr>
        <w:t>Moduli: Otorinolaringoiatria (2 CFU, MED/31) e Audiologia (2 CFU, MED/32)</w:t>
      </w:r>
    </w:p>
    <w:p w14:paraId="6359D35A" w14:textId="77777777" w:rsidR="007A7C26" w:rsidRPr="001E1FD6" w:rsidRDefault="007A7C26" w:rsidP="00932D6C">
      <w:pPr>
        <w:spacing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1E1FD6" w14:paraId="1D035417" w14:textId="77777777" w:rsidTr="009D0595">
        <w:trPr>
          <w:trHeight w:val="244"/>
        </w:trPr>
        <w:tc>
          <w:tcPr>
            <w:tcW w:w="1006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080E05DB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FD6">
              <w:rPr>
                <w:rFonts w:ascii="Arial" w:hAnsi="Arial" w:cs="Arial"/>
                <w:b/>
                <w:sz w:val="24"/>
                <w:szCs w:val="24"/>
              </w:rPr>
              <w:t>Principali informazioni sull’insegnamento</w:t>
            </w:r>
          </w:p>
        </w:tc>
      </w:tr>
      <w:tr w:rsidR="007A7C26" w:rsidRPr="001E1FD6" w14:paraId="021FCC82" w14:textId="77777777" w:rsidTr="009D0595">
        <w:trPr>
          <w:trHeight w:val="244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</w:tcPr>
          <w:p w14:paraId="23BDAC4E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Anno di corso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3E87FDC9" w14:textId="77777777" w:rsidR="00333D86" w:rsidRPr="001E1FD6" w:rsidRDefault="00000000">
            <w:pPr>
              <w:rPr>
                <w:rFonts w:ascii="Arial" w:hAnsi="Arial" w:cs="Arial"/>
              </w:rPr>
            </w:pPr>
            <w:proofErr w:type="gramStart"/>
            <w:r w:rsidRPr="001E1FD6">
              <w:rPr>
                <w:rFonts w:ascii="Arial" w:hAnsi="Arial" w:cs="Arial"/>
              </w:rPr>
              <w:t>I anno</w:t>
            </w:r>
            <w:proofErr w:type="gramEnd"/>
          </w:p>
        </w:tc>
      </w:tr>
      <w:tr w:rsidR="007A7C26" w:rsidRPr="001E1FD6" w14:paraId="159F521D" w14:textId="77777777" w:rsidTr="009D0595">
        <w:trPr>
          <w:trHeight w:val="484"/>
        </w:trPr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4B74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Periodo di erogazione</w:t>
            </w:r>
          </w:p>
        </w:tc>
        <w:tc>
          <w:tcPr>
            <w:tcW w:w="7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6BC6" w14:textId="053E95FE" w:rsidR="00333D86" w:rsidRPr="001E1FD6" w:rsidRDefault="00000000">
            <w:pPr>
              <w:rPr>
                <w:rFonts w:ascii="Arial" w:hAnsi="Arial" w:cs="Arial"/>
              </w:rPr>
            </w:pPr>
            <w:proofErr w:type="gramStart"/>
            <w:r w:rsidRPr="001E1FD6">
              <w:rPr>
                <w:rFonts w:ascii="Arial" w:hAnsi="Arial" w:cs="Arial"/>
              </w:rPr>
              <w:t>II</w:t>
            </w:r>
            <w:proofErr w:type="gramEnd"/>
            <w:r w:rsidRPr="001E1FD6">
              <w:rPr>
                <w:rFonts w:ascii="Arial" w:hAnsi="Arial" w:cs="Arial"/>
              </w:rPr>
              <w:t xml:space="preserve"> semestre A.A. (secondo calendario didattico di Ateneo)</w:t>
            </w:r>
          </w:p>
        </w:tc>
      </w:tr>
      <w:tr w:rsidR="007A7C26" w:rsidRPr="001E1FD6" w14:paraId="5E2918F5" w14:textId="77777777" w:rsidTr="009D0595">
        <w:trPr>
          <w:trHeight w:val="486"/>
        </w:trPr>
        <w:tc>
          <w:tcPr>
            <w:tcW w:w="2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DEB71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Crediti formativi universitari (CFU/ETCS):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E1DC6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4 CFU</w:t>
            </w:r>
          </w:p>
        </w:tc>
      </w:tr>
      <w:tr w:rsidR="007A7C26" w:rsidRPr="001E1FD6" w14:paraId="696E0906" w14:textId="77777777" w:rsidTr="009D0595">
        <w:trPr>
          <w:trHeight w:val="243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</w:tcPr>
          <w:p w14:paraId="69AF5BA6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SSD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75BD7AF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MED/31 (Otorinolaringoiatria) + MED/32 (Audiologia)</w:t>
            </w:r>
          </w:p>
        </w:tc>
      </w:tr>
      <w:tr w:rsidR="007A7C26" w:rsidRPr="001E1FD6" w14:paraId="45349E7D" w14:textId="77777777" w:rsidTr="009D0595">
        <w:trPr>
          <w:trHeight w:val="242"/>
        </w:trPr>
        <w:tc>
          <w:tcPr>
            <w:tcW w:w="2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0AB7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Lingua di erogazione</w:t>
            </w:r>
          </w:p>
        </w:tc>
        <w:tc>
          <w:tcPr>
            <w:tcW w:w="7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8A9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Italiano</w:t>
            </w:r>
          </w:p>
        </w:tc>
      </w:tr>
      <w:tr w:rsidR="007A7C26" w:rsidRPr="001E1FD6" w14:paraId="28EB2386" w14:textId="77777777" w:rsidTr="009D0595">
        <w:trPr>
          <w:trHeight w:val="242"/>
        </w:trPr>
        <w:tc>
          <w:tcPr>
            <w:tcW w:w="2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10C1D" w14:textId="77777777" w:rsidR="007A7C26" w:rsidRPr="001E1FD6" w:rsidRDefault="007A7C26" w:rsidP="007A7C26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1FD6">
              <w:rPr>
                <w:rFonts w:ascii="Arial" w:hAnsi="Arial" w:cs="Arial"/>
                <w:sz w:val="24"/>
                <w:szCs w:val="24"/>
              </w:rPr>
              <w:t>Modalità di frequenza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A5AD3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Obbligatoria (secondo Regolamento didattico del CdS)</w:t>
            </w:r>
          </w:p>
        </w:tc>
      </w:tr>
    </w:tbl>
    <w:p w14:paraId="5FBEA179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1E1FD6" w14:paraId="1CBC7440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2F4577F9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17185D35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7A7C26" w:rsidRPr="001E1FD6" w14:paraId="6FA5B9E4" w14:textId="77777777" w:rsidTr="009D0595">
        <w:trPr>
          <w:trHeight w:val="244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04C4855C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023CC031" w14:textId="48DA9408" w:rsidR="00333D86" w:rsidRPr="001E1FD6" w:rsidRDefault="00932D6C" w:rsidP="00932D6C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GIUSEPPE </w:t>
            </w:r>
            <w:proofErr w:type="gramStart"/>
            <w:r w:rsidRPr="001E1FD6">
              <w:rPr>
                <w:rFonts w:ascii="Arial" w:hAnsi="Arial" w:cs="Arial"/>
              </w:rPr>
              <w:t xml:space="preserve">CHIARELLA  </w:t>
            </w:r>
            <w:r w:rsidR="008C6C93" w:rsidRPr="001E1FD6">
              <w:rPr>
                <w:rFonts w:ascii="Arial" w:hAnsi="Arial" w:cs="Arial"/>
              </w:rPr>
              <w:t>(</w:t>
            </w:r>
            <w:proofErr w:type="gramEnd"/>
            <w:r w:rsidR="008C6C93" w:rsidRPr="001E1FD6">
              <w:rPr>
                <w:rFonts w:ascii="Arial" w:hAnsi="Arial" w:cs="Arial"/>
              </w:rPr>
              <w:t>Presidente di Corso Integrato)</w:t>
            </w:r>
            <w:r w:rsidRPr="001E1FD6">
              <w:rPr>
                <w:rFonts w:ascii="Arial" w:hAnsi="Arial" w:cs="Arial"/>
              </w:rPr>
              <w:t xml:space="preserve"> </w:t>
            </w:r>
          </w:p>
        </w:tc>
      </w:tr>
      <w:tr w:rsidR="007A7C26" w:rsidRPr="001E1FD6" w14:paraId="710B551C" w14:textId="77777777" w:rsidTr="009D0595">
        <w:trPr>
          <w:trHeight w:val="241"/>
        </w:trPr>
        <w:tc>
          <w:tcPr>
            <w:tcW w:w="2900" w:type="dxa"/>
            <w:tcBorders>
              <w:top w:val="single" w:sz="4" w:space="0" w:color="000000"/>
            </w:tcBorders>
          </w:tcPr>
          <w:p w14:paraId="43D95279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033DB311" w14:textId="3EB64DB4" w:rsidR="005544C8" w:rsidRPr="001E1FD6" w:rsidRDefault="00932D6C">
            <w:pPr>
              <w:rPr>
                <w:rFonts w:ascii="Arial" w:hAnsi="Arial" w:cs="Arial"/>
              </w:rPr>
            </w:pPr>
            <w:hyperlink r:id="rId5" w:history="1">
              <w:r w:rsidRPr="001E1FD6">
                <w:rPr>
                  <w:rStyle w:val="Collegamentoipertestuale"/>
                  <w:rFonts w:ascii="Arial" w:hAnsi="Arial" w:cs="Arial"/>
                </w:rPr>
                <w:t>chiarella@unicz.it</w:t>
              </w:r>
            </w:hyperlink>
          </w:p>
        </w:tc>
      </w:tr>
      <w:tr w:rsidR="007A7C26" w:rsidRPr="001E1FD6" w14:paraId="6A38044A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5ACD0D62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07873CE6" w14:textId="6795C141" w:rsidR="00333D86" w:rsidRPr="001E1FD6" w:rsidRDefault="00932D6C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09613644222</w:t>
            </w:r>
          </w:p>
        </w:tc>
      </w:tr>
      <w:tr w:rsidR="007A7C26" w:rsidRPr="001E1FD6" w14:paraId="659EC2A5" w14:textId="77777777" w:rsidTr="009D0595">
        <w:trPr>
          <w:trHeight w:val="242"/>
        </w:trPr>
        <w:tc>
          <w:tcPr>
            <w:tcW w:w="2900" w:type="dxa"/>
            <w:tcBorders>
              <w:top w:val="single" w:sz="4" w:space="0" w:color="000000"/>
            </w:tcBorders>
          </w:tcPr>
          <w:p w14:paraId="020988B1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42CDA0CD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Sede didattica del CdLM (aule indicate nel calendario) / su appuntamento</w:t>
            </w:r>
          </w:p>
        </w:tc>
      </w:tr>
      <w:tr w:rsidR="007A7C26" w:rsidRPr="001E1FD6" w14:paraId="12F27FCD" w14:textId="77777777" w:rsidTr="009D0595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169E338C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4E2C4226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7A7C26" w:rsidRPr="001E1FD6" w14:paraId="0F115016" w14:textId="77777777" w:rsidTr="009D0595">
        <w:trPr>
          <w:trHeight w:val="243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7C1DA6B3" w14:textId="77777777" w:rsidR="007A7C26" w:rsidRPr="001E1FD6" w:rsidRDefault="007A7C26" w:rsidP="007A7C2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89108F5" w14:textId="77777777" w:rsidR="00333D86" w:rsidRPr="001E1FD6" w:rsidRDefault="00000000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</w:tbl>
    <w:p w14:paraId="263A0E7F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1E1FD6" w:rsidRPr="001E1FD6" w14:paraId="10CE9F81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0C725CC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1A5D8546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E1FD6" w:rsidRPr="001E1FD6" w14:paraId="7D69D4D4" w14:textId="77777777" w:rsidTr="00CF6E27">
        <w:trPr>
          <w:trHeight w:val="244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61C9DFDE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A5D03DC" w14:textId="294AE010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PASQUALE VIOLA </w:t>
            </w:r>
          </w:p>
        </w:tc>
      </w:tr>
      <w:tr w:rsidR="001E1FD6" w:rsidRPr="001E1FD6" w14:paraId="3CA0206B" w14:textId="77777777" w:rsidTr="00CF6E27">
        <w:trPr>
          <w:trHeight w:val="241"/>
        </w:trPr>
        <w:tc>
          <w:tcPr>
            <w:tcW w:w="2900" w:type="dxa"/>
            <w:tcBorders>
              <w:top w:val="single" w:sz="4" w:space="0" w:color="000000"/>
            </w:tcBorders>
          </w:tcPr>
          <w:p w14:paraId="6016B4E9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7F3202BE" w14:textId="050E6889" w:rsidR="001E1FD6" w:rsidRPr="001E1FD6" w:rsidRDefault="001E1FD6" w:rsidP="00CF6E27">
            <w:pPr>
              <w:rPr>
                <w:rFonts w:ascii="Arial" w:hAnsi="Arial" w:cs="Arial"/>
              </w:rPr>
            </w:pPr>
            <w:hyperlink r:id="rId6" w:history="1">
              <w:r w:rsidRPr="001E1FD6">
                <w:rPr>
                  <w:rStyle w:val="Collegamentoipertestuale"/>
                  <w:rFonts w:ascii="Arial" w:hAnsi="Arial" w:cs="Arial"/>
                </w:rPr>
                <w:t>pasqualeviola@unicz.it</w:t>
              </w:r>
            </w:hyperlink>
            <w:r w:rsidRPr="001E1FD6">
              <w:rPr>
                <w:rFonts w:ascii="Arial" w:hAnsi="Arial" w:cs="Arial"/>
              </w:rPr>
              <w:t xml:space="preserve"> </w:t>
            </w:r>
          </w:p>
        </w:tc>
      </w:tr>
      <w:tr w:rsidR="001E1FD6" w:rsidRPr="001E1FD6" w14:paraId="624EE8D6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66088A33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70AAC4DB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09613644222</w:t>
            </w:r>
          </w:p>
        </w:tc>
      </w:tr>
      <w:tr w:rsidR="001E1FD6" w:rsidRPr="001E1FD6" w14:paraId="57272C08" w14:textId="77777777" w:rsidTr="00CF6E27">
        <w:trPr>
          <w:trHeight w:val="242"/>
        </w:trPr>
        <w:tc>
          <w:tcPr>
            <w:tcW w:w="2900" w:type="dxa"/>
            <w:tcBorders>
              <w:top w:val="single" w:sz="4" w:space="0" w:color="000000"/>
            </w:tcBorders>
          </w:tcPr>
          <w:p w14:paraId="08474D83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</w:t>
            </w:r>
          </w:p>
        </w:tc>
        <w:tc>
          <w:tcPr>
            <w:tcW w:w="7165" w:type="dxa"/>
            <w:tcBorders>
              <w:top w:val="single" w:sz="4" w:space="0" w:color="000000"/>
            </w:tcBorders>
          </w:tcPr>
          <w:p w14:paraId="3275400E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Sede didattica del </w:t>
            </w:r>
            <w:proofErr w:type="spellStart"/>
            <w:r w:rsidRPr="001E1FD6">
              <w:rPr>
                <w:rFonts w:ascii="Arial" w:hAnsi="Arial" w:cs="Arial"/>
              </w:rPr>
              <w:t>CdLM</w:t>
            </w:r>
            <w:proofErr w:type="spellEnd"/>
            <w:r w:rsidRPr="001E1FD6">
              <w:rPr>
                <w:rFonts w:ascii="Arial" w:hAnsi="Arial" w:cs="Arial"/>
              </w:rPr>
              <w:t xml:space="preserve"> (aule indicate nel calendario) / su appuntamento</w:t>
            </w:r>
          </w:p>
        </w:tc>
      </w:tr>
      <w:tr w:rsidR="001E1FD6" w:rsidRPr="001E1FD6" w14:paraId="0FA48F94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</w:tcPr>
          <w:p w14:paraId="14D10BAC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32B97404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1E1FD6" w:rsidRPr="001E1FD6" w14:paraId="1DB3832F" w14:textId="77777777" w:rsidTr="00CF6E27">
        <w:trPr>
          <w:trHeight w:val="243"/>
        </w:trPr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</w:tcPr>
          <w:p w14:paraId="3724D73D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bottom w:val="single" w:sz="4" w:space="0" w:color="000000"/>
            </w:tcBorders>
          </w:tcPr>
          <w:p w14:paraId="1B621B06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  <w:tr w:rsidR="001E1FD6" w:rsidRPr="001E1FD6" w14:paraId="0275604D" w14:textId="77777777" w:rsidTr="00CF6E27">
        <w:trPr>
          <w:trHeight w:val="242"/>
        </w:trPr>
        <w:tc>
          <w:tcPr>
            <w:tcW w:w="2900" w:type="dxa"/>
            <w:tcBorders>
              <w:bottom w:val="single" w:sz="4" w:space="0" w:color="000000"/>
            </w:tcBorders>
            <w:shd w:val="clear" w:color="auto" w:fill="B1A0C6"/>
          </w:tcPr>
          <w:p w14:paraId="7C2A89F7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1E1FD6">
              <w:rPr>
                <w:rFonts w:ascii="Arial" w:hAnsi="Arial" w:cs="Arial"/>
                <w:b/>
                <w:i/>
                <w:iCs/>
              </w:rPr>
              <w:t>Docente</w:t>
            </w:r>
          </w:p>
        </w:tc>
        <w:tc>
          <w:tcPr>
            <w:tcW w:w="7165" w:type="dxa"/>
            <w:tcBorders>
              <w:bottom w:val="single" w:sz="4" w:space="0" w:color="000000"/>
            </w:tcBorders>
          </w:tcPr>
          <w:p w14:paraId="06FBBC59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E1FD6" w:rsidRPr="001E1FD6" w14:paraId="3004EF01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E7BD6B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Nome e cognome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0B1A83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MARIA RITA BIANCO </w:t>
            </w:r>
          </w:p>
        </w:tc>
      </w:tr>
      <w:tr w:rsidR="001E1FD6" w:rsidRPr="001E1FD6" w14:paraId="2F7008E1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51C3EB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Indirizzo mail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D31241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mrbianco@unicz.it</w:t>
            </w:r>
          </w:p>
        </w:tc>
      </w:tr>
      <w:tr w:rsidR="001E1FD6" w:rsidRPr="001E1FD6" w14:paraId="2655C06F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115B3A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E5C8D0" w14:textId="14CD0126" w:rsidR="001E1FD6" w:rsidRPr="001E1FD6" w:rsidRDefault="001E1FD6" w:rsidP="00CF6E27">
            <w:pPr>
              <w:rPr>
                <w:rFonts w:ascii="Arial" w:hAnsi="Arial" w:cs="Arial"/>
              </w:rPr>
            </w:pPr>
          </w:p>
        </w:tc>
      </w:tr>
      <w:tr w:rsidR="001E1FD6" w:rsidRPr="001E1FD6" w14:paraId="0AEEAA1E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4393E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lastRenderedPageBreak/>
              <w:t>Sede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4CDF8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 xml:space="preserve">Sede didattica del </w:t>
            </w:r>
            <w:proofErr w:type="spellStart"/>
            <w:r w:rsidRPr="001E1FD6">
              <w:rPr>
                <w:rFonts w:ascii="Arial" w:hAnsi="Arial" w:cs="Arial"/>
              </w:rPr>
              <w:t>CdLM</w:t>
            </w:r>
            <w:proofErr w:type="spellEnd"/>
            <w:r w:rsidRPr="001E1FD6">
              <w:rPr>
                <w:rFonts w:ascii="Arial" w:hAnsi="Arial" w:cs="Arial"/>
              </w:rPr>
              <w:t xml:space="preserve"> (aule indicate nel calendario) / su appuntamento</w:t>
            </w:r>
          </w:p>
        </w:tc>
      </w:tr>
      <w:tr w:rsidR="001E1FD6" w:rsidRPr="001E1FD6" w14:paraId="502E4E89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01008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Sede virtuale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7D8399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Microsoft Teams (codice/canale da comunicare a inizio corso)</w:t>
            </w:r>
          </w:p>
        </w:tc>
      </w:tr>
      <w:tr w:rsidR="001E1FD6" w:rsidRPr="001E1FD6" w14:paraId="67E4F6E0" w14:textId="77777777" w:rsidTr="001E1FD6">
        <w:trPr>
          <w:trHeight w:val="243"/>
        </w:trPr>
        <w:tc>
          <w:tcPr>
            <w:tcW w:w="2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87CDD4" w14:textId="77777777" w:rsidR="001E1FD6" w:rsidRPr="001E1FD6" w:rsidRDefault="001E1FD6" w:rsidP="00CF6E27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E1FD6">
              <w:rPr>
                <w:rFonts w:ascii="Arial" w:hAnsi="Arial" w:cs="Arial"/>
                <w:i/>
                <w:iCs/>
              </w:rPr>
              <w:t>Ricevimento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FF709" w14:textId="77777777" w:rsidR="001E1FD6" w:rsidRPr="001E1FD6" w:rsidRDefault="001E1FD6" w:rsidP="00CF6E27">
            <w:pPr>
              <w:rPr>
                <w:rFonts w:ascii="Arial" w:hAnsi="Arial" w:cs="Arial"/>
              </w:rPr>
            </w:pPr>
            <w:r w:rsidRPr="001E1FD6">
              <w:rPr>
                <w:rFonts w:ascii="Arial" w:hAnsi="Arial" w:cs="Arial"/>
              </w:rPr>
              <w:t>Su appuntamento, preferibilmente via e-mail o Teams</w:t>
            </w:r>
          </w:p>
        </w:tc>
      </w:tr>
    </w:tbl>
    <w:p w14:paraId="3ADF682E" w14:textId="77777777" w:rsidR="001E1FD6" w:rsidRDefault="001E1FD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4254"/>
        <w:gridCol w:w="2166"/>
      </w:tblGrid>
      <w:tr w:rsidR="007A7C26" w:rsidRPr="007A7C26" w14:paraId="7FCAE983" w14:textId="77777777" w:rsidTr="00F51CF2">
        <w:trPr>
          <w:trHeight w:val="241"/>
        </w:trPr>
        <w:tc>
          <w:tcPr>
            <w:tcW w:w="1007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1C4AE1F3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Organizzazione della didattica</w:t>
            </w:r>
          </w:p>
        </w:tc>
      </w:tr>
      <w:tr w:rsidR="007A7C26" w:rsidRPr="007A7C26" w14:paraId="46C947F2" w14:textId="77777777" w:rsidTr="009D0595">
        <w:trPr>
          <w:trHeight w:val="244"/>
        </w:trPr>
        <w:tc>
          <w:tcPr>
            <w:tcW w:w="1007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266D364F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Ore</w:t>
            </w:r>
          </w:p>
        </w:tc>
      </w:tr>
      <w:tr w:rsidR="007A7C26" w:rsidRPr="007A7C26" w14:paraId="440C02FF" w14:textId="77777777" w:rsidTr="009D0595">
        <w:trPr>
          <w:trHeight w:val="244"/>
        </w:trPr>
        <w:tc>
          <w:tcPr>
            <w:tcW w:w="1526" w:type="dxa"/>
            <w:tcBorders>
              <w:left w:val="single" w:sz="6" w:space="0" w:color="000000"/>
              <w:right w:val="single" w:sz="6" w:space="0" w:color="000000"/>
            </w:tcBorders>
          </w:tcPr>
          <w:p w14:paraId="32D9E130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Totali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BA0B2D8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Didattica frontale</w:t>
            </w:r>
          </w:p>
        </w:tc>
        <w:tc>
          <w:tcPr>
            <w:tcW w:w="4254" w:type="dxa"/>
          </w:tcPr>
          <w:p w14:paraId="0EFA0275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Pratica (laboratorio, campo, esercitazione, altro)</w:t>
            </w:r>
          </w:p>
        </w:tc>
        <w:tc>
          <w:tcPr>
            <w:tcW w:w="2166" w:type="dxa"/>
            <w:tcBorders>
              <w:right w:val="single" w:sz="6" w:space="0" w:color="000000"/>
            </w:tcBorders>
          </w:tcPr>
          <w:p w14:paraId="283CEAE4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Studio individuale</w:t>
            </w:r>
          </w:p>
        </w:tc>
      </w:tr>
      <w:tr w:rsidR="007A7C26" w:rsidRPr="007A7C26" w14:paraId="490AE70C" w14:textId="77777777" w:rsidTr="009D0595">
        <w:trPr>
          <w:trHeight w:val="242"/>
        </w:trPr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622" w14:textId="77777777" w:rsidR="00333D86" w:rsidRDefault="00000000">
            <w:r>
              <w:t>100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14:paraId="594CC37E" w14:textId="77777777" w:rsidR="00333D86" w:rsidRDefault="00000000">
            <w:r>
              <w:t>32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70F49B00" w14:textId="77777777" w:rsidR="00333D86" w:rsidRDefault="00000000">
            <w:r>
              <w:t>0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</w:tcPr>
          <w:p w14:paraId="72EB5438" w14:textId="77777777" w:rsidR="00333D86" w:rsidRDefault="00000000">
            <w:r>
              <w:t>68</w:t>
            </w:r>
          </w:p>
        </w:tc>
      </w:tr>
      <w:tr w:rsidR="007A7C26" w:rsidRPr="007A7C26" w14:paraId="5C0B18DA" w14:textId="77777777" w:rsidTr="009D0595">
        <w:trPr>
          <w:trHeight w:val="238"/>
        </w:trPr>
        <w:tc>
          <w:tcPr>
            <w:tcW w:w="10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6"/>
          </w:tcPr>
          <w:p w14:paraId="424E9731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CFU/ETCS</w:t>
            </w:r>
          </w:p>
        </w:tc>
      </w:tr>
      <w:tr w:rsidR="007A7C26" w:rsidRPr="007A7C26" w14:paraId="0573B2BD" w14:textId="77777777" w:rsidTr="009D0595">
        <w:trPr>
          <w:trHeight w:val="239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4C2C" w14:textId="77777777" w:rsidR="00333D86" w:rsidRDefault="00000000">
            <w: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7F9D2" w14:textId="77777777" w:rsidR="00333D86" w:rsidRDefault="00000000">
            <w:r>
              <w:t>4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</w:tcPr>
          <w:p w14:paraId="7907ABDA" w14:textId="77777777" w:rsidR="00333D86" w:rsidRDefault="00000000">
            <w:r>
              <w:t>0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BDBC" w14:textId="77777777" w:rsidR="00333D86" w:rsidRDefault="00333D86"/>
        </w:tc>
      </w:tr>
    </w:tbl>
    <w:p w14:paraId="429C9D2E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0480CC" w14:textId="77777777" w:rsidR="00DC4B29" w:rsidRDefault="00DC4B29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E47AD3" w14:textId="77777777" w:rsidR="00DC4B29" w:rsidRDefault="00DC4B29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1B45C0FD" w14:textId="77777777" w:rsidTr="00DB15E5">
        <w:trPr>
          <w:trHeight w:val="481"/>
        </w:trPr>
        <w:tc>
          <w:tcPr>
            <w:tcW w:w="2900" w:type="dxa"/>
            <w:shd w:val="clear" w:color="auto" w:fill="B1A1C6"/>
          </w:tcPr>
          <w:p w14:paraId="0D46C11C" w14:textId="77777777" w:rsidR="007A7C26" w:rsidRPr="007A7C26" w:rsidRDefault="007A7C26" w:rsidP="007A7C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Obiettivi formativi</w:t>
            </w:r>
          </w:p>
        </w:tc>
        <w:tc>
          <w:tcPr>
            <w:tcW w:w="7165" w:type="dxa"/>
          </w:tcPr>
          <w:p w14:paraId="6E6B0904" w14:textId="77777777" w:rsidR="00333D86" w:rsidRDefault="00000000">
            <w:r>
              <w:t>Fornire le conoscenze di base e integrate di otorinolaringoiatria e audiologia utili alla comprensione dei principali quadri clinici dell’ipoacusia e dei disturbi dell’equilibrio, dei percorsi diagnostici e dei principi della riabilitazione uditiva.</w:t>
            </w:r>
            <w:r>
              <w:br/>
              <w:t>Al termine dell’insegnamento lo/la studente/studentessa sarà in grado di inquadrare il paziente con sintomi otologici/audiologici, comprendere indicazioni e limiti degli esami audiometrici principali e interpretare i referti nel contesto clinico.</w:t>
            </w:r>
          </w:p>
        </w:tc>
      </w:tr>
      <w:tr w:rsidR="007A7C26" w:rsidRPr="007A7C26" w14:paraId="2D302E7A" w14:textId="77777777" w:rsidTr="00A423E8">
        <w:trPr>
          <w:trHeight w:val="561"/>
        </w:trPr>
        <w:tc>
          <w:tcPr>
            <w:tcW w:w="2900" w:type="dxa"/>
            <w:shd w:val="clear" w:color="auto" w:fill="B1A1C6"/>
          </w:tcPr>
          <w:p w14:paraId="5E0957FD" w14:textId="77777777" w:rsidR="007A7C26" w:rsidRPr="007A7C26" w:rsidRDefault="007A7C26" w:rsidP="00523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Prerequisiti</w:t>
            </w:r>
          </w:p>
        </w:tc>
        <w:tc>
          <w:tcPr>
            <w:tcW w:w="7165" w:type="dxa"/>
          </w:tcPr>
          <w:p w14:paraId="278179F3" w14:textId="77777777" w:rsidR="00333D86" w:rsidRDefault="00000000">
            <w:r>
              <w:t>Non sono richieste conoscenze preliminari specifiche oltre a quelle previste per l’accesso al CdLM. Sono utili nozioni di anatomia e fisiologia dell’apparato uditivo e vestibolare.</w:t>
            </w:r>
          </w:p>
        </w:tc>
      </w:tr>
    </w:tbl>
    <w:p w14:paraId="2C73D7F0" w14:textId="77777777" w:rsidR="00523A85" w:rsidRDefault="00523A85" w:rsidP="00523A85">
      <w:pPr>
        <w:spacing w:line="240" w:lineRule="auto"/>
        <w:contextualSpacing/>
      </w:pPr>
    </w:p>
    <w:tbl>
      <w:tblPr>
        <w:tblW w:w="1006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7153"/>
      </w:tblGrid>
      <w:tr w:rsidR="00802427" w:rsidRPr="00802427" w14:paraId="41368BF1" w14:textId="77777777" w:rsidTr="009D0595">
        <w:trPr>
          <w:trHeight w:val="2685"/>
        </w:trPr>
        <w:tc>
          <w:tcPr>
            <w:tcW w:w="29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32FCEF4" w14:textId="77777777" w:rsidR="006A05EF" w:rsidRPr="00802427" w:rsidRDefault="00000000" w:rsidP="00523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24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Metodi didattici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C234C66" w14:textId="77777777" w:rsidR="00333D86" w:rsidRDefault="00000000">
            <w:r>
              <w:t>Lezioni frontali con supporto di slide e discussione guidata di casi clinici. Eventuali esercitazioni/attività applicative su tracciati e referti audiometrici (interpretazione e inquadramento clinico). Materiale didattico reso disponibile in piattaforma (es. Teams/Moodle).</w:t>
            </w:r>
          </w:p>
        </w:tc>
      </w:tr>
    </w:tbl>
    <w:p w14:paraId="64A380CE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0B5402E8" w14:textId="77777777" w:rsidTr="007A7C26">
        <w:trPr>
          <w:trHeight w:val="5811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6F913A0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Risultati di apprendimento previsti</w:t>
            </w:r>
          </w:p>
          <w:p w14:paraId="316BD431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B837BE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Da indicare per ciascun Descrittore di Dublino (DD=</w:t>
            </w:r>
          </w:p>
          <w:p w14:paraId="063F22A2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205394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DD1 Conoscenza e capacità di comprensione</w:t>
            </w:r>
          </w:p>
          <w:p w14:paraId="56332D7B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64A3ED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DD2 Conoscenza e capacità di comprensione applicate</w:t>
            </w:r>
          </w:p>
          <w:p w14:paraId="23F15F37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DE899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DD3-5 Competenze trasversali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5D5119B4" w14:textId="77777777" w:rsidR="00333D86" w:rsidRDefault="00000000">
            <w:r>
              <w:t>DD1 – Conoscenza e capacità di comprensione:</w:t>
            </w:r>
            <w:r>
              <w:br/>
              <w:t>- Anatomia e fisiologia dell’orecchio e del sistema vestibolare.</w:t>
            </w:r>
            <w:r>
              <w:br/>
              <w:t>- Principali patologie ORL con impatto uditivo/vestibolare (otiti, otosclerosi, presbiacusia, ipoacusia neurosensoriale, acufeni, vertigini).</w:t>
            </w:r>
            <w:r>
              <w:br/>
              <w:t>- Fondamenti di audiologia clinica, principi di audiometria tonale e vocale, impedenzometria, otoemissioni acustiche e potenziali evocati uditivi.</w:t>
            </w:r>
            <w:r>
              <w:br/>
            </w:r>
            <w:r>
              <w:br/>
              <w:t>DD2 – Capacità di applicare conoscenza e comprensione:</w:t>
            </w:r>
            <w:r>
              <w:br/>
              <w:t>- Inquadrare un caso clinico ORL/audiologico e scegliere, a livello di principi, il percorso diagnostico più appropriato.</w:t>
            </w:r>
            <w:r>
              <w:br/>
              <w:t>- Interpretare i principali esami audiologici e correlarli al quadro clinico.</w:t>
            </w:r>
            <w:r>
              <w:br/>
              <w:t>- Comprendere indicazioni, limiti e principi di base della riabilitazione (protesizzazione, impianto cocleare, counselling).</w:t>
            </w:r>
            <w:r>
              <w:br/>
            </w:r>
            <w:r>
              <w:br/>
              <w:t>DD3 – Autonomia di giudizio:</w:t>
            </w:r>
            <w:r>
              <w:br/>
              <w:t>- Valutare criticamente coerenza tra sintomi, anamnesi, esame obiettivo e risultati dei test audiologici.</w:t>
            </w:r>
            <w:r>
              <w:br/>
              <w:t>- Riconoscere situazioni che richiedono approfondimento specialistico/urgenza.</w:t>
            </w:r>
            <w:r>
              <w:br/>
            </w:r>
            <w:r>
              <w:br/>
              <w:t>DD4 – Abilità comunicative:</w:t>
            </w:r>
            <w:r>
              <w:br/>
              <w:t>- Utilizzare una terminologia specialistica corretta (ORL/audiologia) nella presentazione di casi e nella lettura di referti.</w:t>
            </w:r>
            <w:r>
              <w:br/>
              <w:t>- Comunicare in modo chiaro razionale diagnostico e significato dei risultati a interlocutori specialisti e non.</w:t>
            </w:r>
            <w:r>
              <w:br/>
            </w:r>
            <w:r>
              <w:br/>
              <w:t>DD5 – Capacità di apprendere:</w:t>
            </w:r>
            <w:r>
              <w:br/>
              <w:t>- Reperire e selezionare fonti scientifiche e linee guida di base in ambito ORL/audiologico.</w:t>
            </w:r>
            <w:r>
              <w:br/>
              <w:t>- Aggiornare autonomamente le conoscenze su nuove metodiche/percorsi riabilitativi.</w:t>
            </w:r>
          </w:p>
        </w:tc>
      </w:tr>
    </w:tbl>
    <w:p w14:paraId="31004311" w14:textId="77777777" w:rsidR="00DB15E5" w:rsidRDefault="00DB15E5" w:rsidP="00DB15E5">
      <w:pPr>
        <w:contextualSpacing/>
      </w:pPr>
    </w:p>
    <w:tbl>
      <w:tblPr>
        <w:tblW w:w="1006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5"/>
      </w:tblGrid>
      <w:tr w:rsidR="007A7C26" w:rsidRPr="007A7C26" w14:paraId="06D0233B" w14:textId="77777777" w:rsidTr="00DB15E5">
        <w:trPr>
          <w:trHeight w:val="2590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219B345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Contenuti di insegnamento (Programma)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4EBE90A9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Richiami di anatomia e fisiologia dell’orecchio esterno, medio e interno; vie uditive centrali; sistema vestibolare.</w:t>
            </w:r>
          </w:p>
          <w:p w14:paraId="75C2E748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Elementi di semeiotica otorinolaringoiatrica: anamnesi ed esame obiettivo otologico; otoscopia; principali sintomi di interesse audiologico (otalgia, otorrea, ipoacusia, acufeni, vertigini).</w:t>
            </w:r>
          </w:p>
          <w:p w14:paraId="54B7607B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 xml:space="preserve">Patologie dell’orecchio esterno e medio: otiti, perforazioni timpaniche, </w:t>
            </w:r>
            <w:proofErr w:type="spellStart"/>
            <w:r w:rsidRPr="00CD5103">
              <w:t>colesteatoma</w:t>
            </w:r>
            <w:proofErr w:type="spellEnd"/>
            <w:r w:rsidRPr="00CD5103">
              <w:t>, otosclerosi; inquadramento clinico e principi generali di trattamento.</w:t>
            </w:r>
          </w:p>
          <w:p w14:paraId="6E59AB3B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 xml:space="preserve">Patologie dell’orecchio interno e del sistema vestibolare: vertigine parossistica posizionale benigna (VPPB), neurite vestibolare, malattia di </w:t>
            </w:r>
            <w:proofErr w:type="spellStart"/>
            <w:r w:rsidRPr="00CD5103">
              <w:t>Ménière</w:t>
            </w:r>
            <w:proofErr w:type="spellEnd"/>
            <w:r w:rsidRPr="00CD5103">
              <w:t>; cenni alle vertigini di origine centrale.</w:t>
            </w:r>
          </w:p>
          <w:p w14:paraId="358E4937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Sordità improvvisa e principali urgenze otorinolaringoiatriche: criteri di sospetto clinico e indicazioni all’invio specialistico.</w:t>
            </w:r>
          </w:p>
          <w:p w14:paraId="3F165FA1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lastRenderedPageBreak/>
              <w:t>Fondamenti di audiologia: tipi e gradi di ipoacusia; curva audiometrica; concetti di soglia uditiva e discriminazione vocale.</w:t>
            </w:r>
          </w:p>
          <w:p w14:paraId="475858B3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Metodiche di valutazione audiologica: audiometria tonale e vocale; impedenzometria (</w:t>
            </w:r>
            <w:proofErr w:type="spellStart"/>
            <w:r w:rsidRPr="00CD5103">
              <w:t>timpanogramma</w:t>
            </w:r>
            <w:proofErr w:type="spellEnd"/>
            <w:r w:rsidRPr="00CD5103">
              <w:t xml:space="preserve"> e riflessi stapediali); otoemissioni acustiche (TEOAE, DPOAE); potenziali evocati uditivi del tronco encefalico (ABR, cenni).</w:t>
            </w:r>
          </w:p>
          <w:p w14:paraId="4F48ADC7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Interpretazione integrata dei referti audiologici e correlazione con il quadro clinico.</w:t>
            </w:r>
          </w:p>
          <w:p w14:paraId="08A19F18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Acufeni: inquadramento clinico, valutazione audiologica e principi di gestione.</w:t>
            </w:r>
          </w:p>
          <w:p w14:paraId="650E0C62" w14:textId="77777777" w:rsid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Riabilitazione uditiva: apparecchi acustici; principi e criteri generali per l’impianto cocleare; follow-up audiologico e counselling del paziente.</w:t>
            </w:r>
          </w:p>
          <w:p w14:paraId="7DCF3DBB" w14:textId="40A069F7" w:rsidR="00CD5103" w:rsidRPr="00CD5103" w:rsidRDefault="00CD5103" w:rsidP="00CD5103">
            <w:pPr>
              <w:pStyle w:val="Paragrafoelenco"/>
              <w:numPr>
                <w:ilvl w:val="0"/>
                <w:numId w:val="11"/>
              </w:numPr>
              <w:ind w:left="373"/>
            </w:pPr>
            <w:r w:rsidRPr="00CD5103">
              <w:t>Screening uditivo neonatale e in età evolutiva; principali percorsi diagnostico-terapeutici per l’identificazione precoce delle ipoacusie.</w:t>
            </w:r>
          </w:p>
          <w:p w14:paraId="5EFF64F0" w14:textId="2D776EEA" w:rsidR="00333D86" w:rsidRDefault="00333D86"/>
        </w:tc>
      </w:tr>
      <w:tr w:rsidR="007A7C26" w:rsidRPr="007A7C26" w14:paraId="1EC8E7F3" w14:textId="77777777" w:rsidTr="007A7C26">
        <w:trPr>
          <w:trHeight w:val="408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79E45251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Testi di riferimento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DC93ABE" w14:textId="3DC3BE34" w:rsidR="00932D6C" w:rsidRPr="00932D6C" w:rsidRDefault="00932D6C" w:rsidP="00932D6C">
            <w:r w:rsidRPr="00932D6C">
              <w:t>Argomenti di audiologia</w:t>
            </w:r>
          </w:p>
          <w:p w14:paraId="4736DCFE" w14:textId="1857A405" w:rsidR="00333D86" w:rsidRDefault="00932D6C">
            <w:r w:rsidRPr="00932D6C">
              <w:rPr>
                <w:b/>
                <w:bCs/>
              </w:rPr>
              <w:t>di </w:t>
            </w:r>
            <w:r w:rsidRPr="00932D6C">
              <w:t xml:space="preserve">Prosser - </w:t>
            </w:r>
            <w:proofErr w:type="gramStart"/>
            <w:r w:rsidRPr="00932D6C">
              <w:t>Martini  •</w:t>
            </w:r>
            <w:proofErr w:type="gramEnd"/>
            <w:r w:rsidRPr="00932D6C">
              <w:t> 2013  </w:t>
            </w:r>
          </w:p>
        </w:tc>
      </w:tr>
      <w:tr w:rsidR="007A7C26" w:rsidRPr="007A7C26" w14:paraId="3E39A26D" w14:textId="77777777" w:rsidTr="007A7C26">
        <w:trPr>
          <w:trHeight w:val="691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1C77096E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Note ai testi di riferimento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1DB184A0" w14:textId="77777777" w:rsidR="00333D86" w:rsidRDefault="00000000">
            <w:r>
              <w:t>Linee guida e documenti di consenso (società scientifiche) forniti dal docente.</w:t>
            </w:r>
            <w:r>
              <w:br/>
              <w:t>Articoli scientifici di approfondimento e casi clinici selezionati.</w:t>
            </w:r>
          </w:p>
        </w:tc>
      </w:tr>
      <w:tr w:rsidR="007A7C26" w:rsidRPr="007A7C26" w14:paraId="21C325D7" w14:textId="77777777" w:rsidTr="007A7C26">
        <w:trPr>
          <w:trHeight w:val="1119"/>
        </w:trPr>
        <w:tc>
          <w:tcPr>
            <w:tcW w:w="2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44190132" w14:textId="77777777" w:rsidR="007A7C26" w:rsidRPr="007A7C26" w:rsidRDefault="007A7C26" w:rsidP="007A7C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A7C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Materiali didattici</w:t>
            </w:r>
          </w:p>
        </w:tc>
        <w:tc>
          <w:tcPr>
            <w:tcW w:w="7165" w:type="dxa"/>
            <w:tcBorders>
              <w:left w:val="single" w:sz="6" w:space="0" w:color="000000"/>
              <w:right w:val="single" w:sz="6" w:space="0" w:color="000000"/>
            </w:tcBorders>
          </w:tcPr>
          <w:p w14:paraId="0E4FAD97" w14:textId="77777777" w:rsidR="00333D86" w:rsidRDefault="00000000">
            <w:r>
              <w:t>Slide e materiale integrativo disponibili sulla piattaforma indicata dal CdS (es. Teams/Moodle). Il materiale resterà disponibile almeno per il periodo previsto dalle procedure di AQ/AVA3.</w:t>
            </w:r>
          </w:p>
        </w:tc>
      </w:tr>
    </w:tbl>
    <w:p w14:paraId="568F747B" w14:textId="77777777" w:rsidR="007A7C26" w:rsidRDefault="007A7C26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5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207"/>
      </w:tblGrid>
      <w:tr w:rsidR="00DB15E5" w:rsidRPr="00DB15E5" w14:paraId="6E356331" w14:textId="77777777" w:rsidTr="00DB15E5">
        <w:trPr>
          <w:trHeight w:val="295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0C6"/>
          </w:tcPr>
          <w:p w14:paraId="5874888B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Valutazione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09A731FD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B15E5" w:rsidRPr="00DB15E5" w14:paraId="3DDA0EE1" w14:textId="77777777" w:rsidTr="00DB15E5">
        <w:trPr>
          <w:trHeight w:val="4486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112B360E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Modalità di verifica</w:t>
            </w:r>
          </w:p>
          <w:p w14:paraId="41C57640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dell’apprendimento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4F5653CF" w14:textId="77777777" w:rsidR="00333D86" w:rsidRDefault="00000000">
            <w:r>
              <w:t>Prova orale (colloquio) sui contenuti dei due moduli, con eventuale discussione di brevi casi clinici e/o interpretazione di tracciati/referti audiologici. La prova mira a verificare conoscenze (DD1), applicazione/interpretazione (DD2) e competenze comunicative (DD4).</w:t>
            </w:r>
          </w:p>
        </w:tc>
      </w:tr>
      <w:tr w:rsidR="00DB15E5" w:rsidRPr="00DB15E5" w14:paraId="579221CC" w14:textId="77777777" w:rsidTr="00DB15E5">
        <w:trPr>
          <w:trHeight w:val="3419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7179B00B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Criteri di valutazione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64637BD2" w14:textId="77777777" w:rsidR="00333D86" w:rsidRDefault="00000000">
            <w:r>
              <w:t>Conoscenza e capacità di comprensione: correttezza e completezza delle conoscenze; capacità di collegare i concetti.</w:t>
            </w:r>
            <w:r>
              <w:br/>
              <w:t>Conoscenza e capacità di comprensione applicate: capacità di interpretare esami/referti e di inquadrare il caso clinico.</w:t>
            </w:r>
            <w:r>
              <w:br/>
              <w:t>Autonomia di giudizio: capacità di ragionamento critico e identificazione di elementi di appropriatezza/urgenza.</w:t>
            </w:r>
            <w:r>
              <w:br/>
              <w:t>Abilità comunicative: chiarezza espositiva e uso del lessico specialistico.</w:t>
            </w:r>
            <w:r>
              <w:br/>
              <w:t>Capacità di apprendere: capacità di orientarsi tra fonti e di integrare contenuti aggiornati.</w:t>
            </w:r>
          </w:p>
        </w:tc>
      </w:tr>
      <w:tr w:rsidR="00DB15E5" w:rsidRPr="00DB15E5" w14:paraId="3514A1A7" w14:textId="77777777" w:rsidTr="00DB15E5">
        <w:trPr>
          <w:trHeight w:val="3419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1C276847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Criteri di misurazione dell'apprendimento e di attribuzione del voto finale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6238DC07" w14:textId="77777777" w:rsidR="00E96ABD" w:rsidRP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t xml:space="preserve">Le modalità generali sono indicate nel regolamento didattico di Ateneo all’art.22 consultabile al link </w:t>
            </w:r>
            <w:hyperlink r:id="rId7" w:history="1">
              <w:r w:rsidRPr="00E96ABD">
                <w:rPr>
                  <w:rStyle w:val="Collegamentoipertestuale"/>
                  <w:iCs/>
                </w:rPr>
                <w:t>http://www.unicz.it</w:t>
              </w:r>
              <w:r w:rsidRPr="00E96ABD">
                <w:rPr>
                  <w:rStyle w:val="Collegamentoipertestuale"/>
                  <w:iCs/>
                </w:rPr>
                <w:t>/</w:t>
              </w:r>
              <w:r w:rsidRPr="00E96ABD">
                <w:rPr>
                  <w:rStyle w:val="Collegamentoipertestuale"/>
                  <w:iCs/>
                </w:rPr>
                <w:t>pdf/regolamento_didattico_ateneo_dr681.pdf</w:t>
              </w:r>
            </w:hyperlink>
          </w:p>
          <w:p w14:paraId="26480C24" w14:textId="77777777" w:rsidR="00E96ABD" w:rsidRDefault="00E96ABD" w:rsidP="00E96ABD">
            <w:r>
              <w:t>Il voto finale è attribuito in trentesimi. L’esame è superato con voto ≥ 18/30.</w:t>
            </w:r>
            <w:r>
              <w:br/>
              <w:t>La valutazione deriva dal colloquio complessivo sui contenuti dei due moduli. La lode può essere attribuita in presenza di conoscenze eccellenti, ragionamento critico maturo e ottima proprietà di linguaggio.</w:t>
            </w:r>
          </w:p>
          <w:p w14:paraId="424E9A5E" w14:textId="77777777" w:rsidR="00E96ABD" w:rsidRPr="00E96ABD" w:rsidRDefault="00E96ABD" w:rsidP="00E96ABD">
            <w:pPr>
              <w:rPr>
                <w:iCs/>
              </w:rPr>
            </w:pPr>
          </w:p>
          <w:p w14:paraId="5C84DF83" w14:textId="77777777" w:rsid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t>I criteri di valutazione per l’esame orale si attengono a quanto riportato nella griglia sottostante:</w:t>
            </w:r>
          </w:p>
          <w:p w14:paraId="4A0B73A1" w14:textId="2C44D646" w:rsidR="00E96ABD" w:rsidRPr="00E96ABD" w:rsidRDefault="00E96ABD" w:rsidP="00E96ABD">
            <w:pPr>
              <w:rPr>
                <w:iCs/>
              </w:rPr>
            </w:pPr>
            <w:r w:rsidRPr="00E96ABD">
              <w:rPr>
                <w:iCs/>
              </w:rPr>
              <w:drawing>
                <wp:inline distT="0" distB="0" distL="0" distR="0" wp14:anchorId="67DCF409" wp14:editId="083CBCE6">
                  <wp:extent cx="4439285" cy="3442970"/>
                  <wp:effectExtent l="0" t="0" r="0" b="0"/>
                  <wp:docPr id="2103814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14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271" cy="344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8251D" w14:textId="77777777" w:rsidR="00E96ABD" w:rsidRDefault="00E96ABD"/>
        </w:tc>
      </w:tr>
      <w:tr w:rsidR="00DB15E5" w:rsidRPr="00DB15E5" w14:paraId="5B7C37F6" w14:textId="77777777" w:rsidTr="00DB15E5">
        <w:trPr>
          <w:trHeight w:val="530"/>
        </w:trPr>
        <w:tc>
          <w:tcPr>
            <w:tcW w:w="28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1A1C6"/>
          </w:tcPr>
          <w:p w14:paraId="738A4E85" w14:textId="77777777" w:rsidR="00DB15E5" w:rsidRPr="00DB15E5" w:rsidRDefault="00DB15E5" w:rsidP="00DB15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5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Altro</w:t>
            </w:r>
          </w:p>
        </w:tc>
        <w:tc>
          <w:tcPr>
            <w:tcW w:w="7207" w:type="dxa"/>
            <w:tcBorders>
              <w:left w:val="single" w:sz="6" w:space="0" w:color="000000"/>
              <w:right w:val="single" w:sz="6" w:space="0" w:color="000000"/>
            </w:tcBorders>
          </w:tcPr>
          <w:p w14:paraId="1BF32FC4" w14:textId="77777777" w:rsidR="00333D86" w:rsidRDefault="00000000">
            <w:r>
              <w:t>Eventuali indicazioni operative (date appelli, modalità di iscrizione, piattaforma e codici Teams) saranno comunicate tramite i canali ufficiali del CdS.</w:t>
            </w:r>
          </w:p>
        </w:tc>
      </w:tr>
    </w:tbl>
    <w:p w14:paraId="477BB654" w14:textId="77777777" w:rsidR="00DB15E5" w:rsidRPr="007A7C26" w:rsidRDefault="00DB15E5" w:rsidP="007A7C2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B15E5" w:rsidRPr="007A7C26" w:rsidSect="00CD72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E9B"/>
    <w:multiLevelType w:val="hybridMultilevel"/>
    <w:tmpl w:val="650CE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CFE"/>
    <w:multiLevelType w:val="hybridMultilevel"/>
    <w:tmpl w:val="A7B8E9B8"/>
    <w:lvl w:ilvl="0" w:tplc="2B8E6ED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pacing w:val="0"/>
        <w:w w:val="9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87FD0"/>
    <w:multiLevelType w:val="hybridMultilevel"/>
    <w:tmpl w:val="A5A88B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6586B"/>
    <w:multiLevelType w:val="hybridMultilevel"/>
    <w:tmpl w:val="9BD02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A29"/>
    <w:multiLevelType w:val="hybridMultilevel"/>
    <w:tmpl w:val="F9909224"/>
    <w:lvl w:ilvl="0" w:tplc="09B4BA76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6"/>
        <w:sz w:val="19"/>
        <w:szCs w:val="19"/>
        <w:lang w:val="it-IT" w:eastAsia="en-US" w:bidi="ar-SA"/>
      </w:rPr>
    </w:lvl>
    <w:lvl w:ilvl="1" w:tplc="BC8E0F60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2" w:tplc="3A620FEC">
      <w:numFmt w:val="bullet"/>
      <w:lvlText w:val="•"/>
      <w:lvlJc w:val="left"/>
      <w:pPr>
        <w:ind w:left="1735" w:hanging="360"/>
      </w:pPr>
      <w:rPr>
        <w:rFonts w:hint="default"/>
        <w:lang w:val="it-IT" w:eastAsia="en-US" w:bidi="ar-SA"/>
      </w:rPr>
    </w:lvl>
    <w:lvl w:ilvl="3" w:tplc="25F8070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4" w:tplc="CB9A59EC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5" w:tplc="0D6ADDF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6" w:tplc="ED48866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7" w:tplc="9BF22652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8" w:tplc="94CCCBEE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3E7B10"/>
    <w:multiLevelType w:val="hybridMultilevel"/>
    <w:tmpl w:val="D3702D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43925"/>
    <w:multiLevelType w:val="hybridMultilevel"/>
    <w:tmpl w:val="E982B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E24CB"/>
    <w:multiLevelType w:val="hybridMultilevel"/>
    <w:tmpl w:val="94A4BE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43147"/>
    <w:multiLevelType w:val="hybridMultilevel"/>
    <w:tmpl w:val="5A7A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14AEE"/>
    <w:multiLevelType w:val="hybridMultilevel"/>
    <w:tmpl w:val="927042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755731"/>
    <w:multiLevelType w:val="hybridMultilevel"/>
    <w:tmpl w:val="7B2CDE8C"/>
    <w:lvl w:ilvl="0" w:tplc="4A9EF31A">
      <w:numFmt w:val="bullet"/>
      <w:lvlText w:val="-"/>
      <w:lvlJc w:val="left"/>
      <w:pPr>
        <w:ind w:left="105" w:hanging="151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5"/>
        <w:sz w:val="19"/>
        <w:szCs w:val="19"/>
        <w:lang w:val="it-IT" w:eastAsia="en-US" w:bidi="ar-SA"/>
      </w:rPr>
    </w:lvl>
    <w:lvl w:ilvl="1" w:tplc="D1FA0ACE">
      <w:numFmt w:val="bullet"/>
      <w:lvlText w:val="•"/>
      <w:lvlJc w:val="left"/>
      <w:pPr>
        <w:ind w:left="773" w:hanging="151"/>
      </w:pPr>
      <w:rPr>
        <w:rFonts w:hint="default"/>
        <w:lang w:val="it-IT" w:eastAsia="en-US" w:bidi="ar-SA"/>
      </w:rPr>
    </w:lvl>
    <w:lvl w:ilvl="2" w:tplc="F6662C16">
      <w:numFmt w:val="bullet"/>
      <w:lvlText w:val="•"/>
      <w:lvlJc w:val="left"/>
      <w:pPr>
        <w:ind w:left="1447" w:hanging="151"/>
      </w:pPr>
      <w:rPr>
        <w:rFonts w:hint="default"/>
        <w:lang w:val="it-IT" w:eastAsia="en-US" w:bidi="ar-SA"/>
      </w:rPr>
    </w:lvl>
    <w:lvl w:ilvl="3" w:tplc="C7246B9A">
      <w:numFmt w:val="bullet"/>
      <w:lvlText w:val="•"/>
      <w:lvlJc w:val="left"/>
      <w:pPr>
        <w:ind w:left="2121" w:hanging="151"/>
      </w:pPr>
      <w:rPr>
        <w:rFonts w:hint="default"/>
        <w:lang w:val="it-IT" w:eastAsia="en-US" w:bidi="ar-SA"/>
      </w:rPr>
    </w:lvl>
    <w:lvl w:ilvl="4" w:tplc="53A428CE">
      <w:numFmt w:val="bullet"/>
      <w:lvlText w:val="•"/>
      <w:lvlJc w:val="left"/>
      <w:pPr>
        <w:ind w:left="2794" w:hanging="151"/>
      </w:pPr>
      <w:rPr>
        <w:rFonts w:hint="default"/>
        <w:lang w:val="it-IT" w:eastAsia="en-US" w:bidi="ar-SA"/>
      </w:rPr>
    </w:lvl>
    <w:lvl w:ilvl="5" w:tplc="E7A2EEBE">
      <w:numFmt w:val="bullet"/>
      <w:lvlText w:val="•"/>
      <w:lvlJc w:val="left"/>
      <w:pPr>
        <w:ind w:left="3468" w:hanging="151"/>
      </w:pPr>
      <w:rPr>
        <w:rFonts w:hint="default"/>
        <w:lang w:val="it-IT" w:eastAsia="en-US" w:bidi="ar-SA"/>
      </w:rPr>
    </w:lvl>
    <w:lvl w:ilvl="6" w:tplc="B23C2808">
      <w:numFmt w:val="bullet"/>
      <w:lvlText w:val="•"/>
      <w:lvlJc w:val="left"/>
      <w:pPr>
        <w:ind w:left="4142" w:hanging="151"/>
      </w:pPr>
      <w:rPr>
        <w:rFonts w:hint="default"/>
        <w:lang w:val="it-IT" w:eastAsia="en-US" w:bidi="ar-SA"/>
      </w:rPr>
    </w:lvl>
    <w:lvl w:ilvl="7" w:tplc="05922F8A">
      <w:numFmt w:val="bullet"/>
      <w:lvlText w:val="•"/>
      <w:lvlJc w:val="left"/>
      <w:pPr>
        <w:ind w:left="4815" w:hanging="151"/>
      </w:pPr>
      <w:rPr>
        <w:rFonts w:hint="default"/>
        <w:lang w:val="it-IT" w:eastAsia="en-US" w:bidi="ar-SA"/>
      </w:rPr>
    </w:lvl>
    <w:lvl w:ilvl="8" w:tplc="225A21A4">
      <w:numFmt w:val="bullet"/>
      <w:lvlText w:val="•"/>
      <w:lvlJc w:val="left"/>
      <w:pPr>
        <w:ind w:left="5489" w:hanging="151"/>
      </w:pPr>
      <w:rPr>
        <w:rFonts w:hint="default"/>
        <w:lang w:val="it-IT" w:eastAsia="en-US" w:bidi="ar-SA"/>
      </w:rPr>
    </w:lvl>
  </w:abstractNum>
  <w:num w:numId="1" w16cid:durableId="1608194473">
    <w:abstractNumId w:val="10"/>
  </w:num>
  <w:num w:numId="2" w16cid:durableId="658072010">
    <w:abstractNumId w:val="7"/>
  </w:num>
  <w:num w:numId="3" w16cid:durableId="272637046">
    <w:abstractNumId w:val="4"/>
  </w:num>
  <w:num w:numId="4" w16cid:durableId="1221861249">
    <w:abstractNumId w:val="8"/>
  </w:num>
  <w:num w:numId="5" w16cid:durableId="1730764520">
    <w:abstractNumId w:val="3"/>
  </w:num>
  <w:num w:numId="6" w16cid:durableId="1630479605">
    <w:abstractNumId w:val="0"/>
  </w:num>
  <w:num w:numId="7" w16cid:durableId="842090542">
    <w:abstractNumId w:val="5"/>
  </w:num>
  <w:num w:numId="8" w16cid:durableId="1701201525">
    <w:abstractNumId w:val="6"/>
  </w:num>
  <w:num w:numId="9" w16cid:durableId="1003706908">
    <w:abstractNumId w:val="2"/>
  </w:num>
  <w:num w:numId="10" w16cid:durableId="1925453014">
    <w:abstractNumId w:val="1"/>
  </w:num>
  <w:num w:numId="11" w16cid:durableId="32073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26"/>
    <w:rsid w:val="0004344E"/>
    <w:rsid w:val="00195F54"/>
    <w:rsid w:val="001D5F82"/>
    <w:rsid w:val="001E1FD6"/>
    <w:rsid w:val="002A6CC9"/>
    <w:rsid w:val="00333D86"/>
    <w:rsid w:val="00523A85"/>
    <w:rsid w:val="005544C8"/>
    <w:rsid w:val="00576741"/>
    <w:rsid w:val="00577B95"/>
    <w:rsid w:val="005E73F4"/>
    <w:rsid w:val="006671CC"/>
    <w:rsid w:val="006A05EF"/>
    <w:rsid w:val="00786911"/>
    <w:rsid w:val="007A7C26"/>
    <w:rsid w:val="007B0136"/>
    <w:rsid w:val="00892724"/>
    <w:rsid w:val="008C6C93"/>
    <w:rsid w:val="00932D6C"/>
    <w:rsid w:val="0098449D"/>
    <w:rsid w:val="00A04F70"/>
    <w:rsid w:val="00A423E8"/>
    <w:rsid w:val="00AB0903"/>
    <w:rsid w:val="00B3497E"/>
    <w:rsid w:val="00BD0310"/>
    <w:rsid w:val="00C462CF"/>
    <w:rsid w:val="00CD5103"/>
    <w:rsid w:val="00CD722E"/>
    <w:rsid w:val="00DB15E5"/>
    <w:rsid w:val="00DC4B29"/>
    <w:rsid w:val="00E0675E"/>
    <w:rsid w:val="00E96ABD"/>
    <w:rsid w:val="00ED2D80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26457"/>
  <w15:chartTrackingRefBased/>
  <w15:docId w15:val="{44E2F330-3CB3-4A49-B16C-9587855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CC9"/>
  </w:style>
  <w:style w:type="paragraph" w:styleId="Titolo1">
    <w:name w:val="heading 1"/>
    <w:basedOn w:val="Normale"/>
    <w:next w:val="Normale"/>
    <w:link w:val="Titolo1Carattere"/>
    <w:uiPriority w:val="9"/>
    <w:qFormat/>
    <w:rsid w:val="007A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7C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7C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ssico">
    <w:name w:val="Lessico"/>
    <w:basedOn w:val="Titolo"/>
    <w:link w:val="LessicoCarattere"/>
    <w:qFormat/>
    <w:rsid w:val="006671CC"/>
    <w:rPr>
      <w:rFonts w:ascii="Times New Roman" w:hAnsi="Times New Roman" w:cs="Times New Roman"/>
      <w:b/>
      <w:bCs/>
      <w:sz w:val="36"/>
      <w:szCs w:val="36"/>
    </w:rPr>
  </w:style>
  <w:style w:type="character" w:customStyle="1" w:styleId="LessicoCarattere">
    <w:name w:val="Lessico Carattere"/>
    <w:basedOn w:val="TitoloCarattere"/>
    <w:link w:val="Lessico"/>
    <w:rsid w:val="006671CC"/>
    <w:rPr>
      <w:rFonts w:ascii="Times New Roman" w:eastAsiaTheme="majorEastAsia" w:hAnsi="Times New Roman" w:cs="Times New Roman"/>
      <w:b/>
      <w:bCs/>
      <w:spacing w:val="-10"/>
      <w:kern w:val="28"/>
      <w:sz w:val="36"/>
      <w:szCs w:val="3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C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7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7C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7C2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7C2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7C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7C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7C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7C26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7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7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7C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7C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7C2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7C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7C2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7C26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DB15E5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2D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D6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6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unicz.it/pdf/regolamento_didattico_ateneo_dr6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qualeviola@unicz.it" TargetMode="External"/><Relationship Id="rId5" Type="http://schemas.openxmlformats.org/officeDocument/2006/relationships/hyperlink" Target="mailto:chiarella@unicz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Musella</dc:creator>
  <cp:keywords/>
  <dc:description/>
  <cp:lastModifiedBy>Camillo Palmieri</cp:lastModifiedBy>
  <cp:revision>2</cp:revision>
  <dcterms:created xsi:type="dcterms:W3CDTF">2026-03-04T06:21:00Z</dcterms:created>
  <dcterms:modified xsi:type="dcterms:W3CDTF">2026-03-04T06:21:00Z</dcterms:modified>
</cp:coreProperties>
</file>