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ECE18" w14:textId="49E9F6A0" w:rsidR="004542E8" w:rsidRPr="00226489" w:rsidRDefault="004542E8" w:rsidP="00AF3662">
      <w:pPr>
        <w:jc w:val="both"/>
      </w:pPr>
      <w:r w:rsidRPr="00226489">
        <w:t xml:space="preserve">Aggiornamento SUA-CdS </w:t>
      </w:r>
      <w:r w:rsidR="00B94B72" w:rsidRPr="00226489">
        <w:t>2026</w:t>
      </w:r>
      <w:r w:rsidRPr="00226489">
        <w:t xml:space="preserve"> – CdLM in Odontoiatria e Protesi Dentaria</w:t>
      </w:r>
      <w:r w:rsidR="00633CF4" w:rsidRPr="00226489">
        <w:t xml:space="preserve"> – UMG di Catanzaro</w:t>
      </w:r>
    </w:p>
    <w:p w14:paraId="197956BC" w14:textId="7A756DB8" w:rsidR="004542E8" w:rsidRPr="00226489" w:rsidRDefault="004542E8" w:rsidP="00AF3662">
      <w:pPr>
        <w:jc w:val="both"/>
        <w:rPr>
          <w:b/>
          <w:bCs/>
        </w:rPr>
      </w:pPr>
      <w:r w:rsidRPr="00226489">
        <w:rPr>
          <w:b/>
          <w:bCs/>
        </w:rPr>
        <w:t>Informazioni generali sul Corso di Studi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7"/>
        <w:gridCol w:w="81"/>
      </w:tblGrid>
      <w:tr w:rsidR="004542E8" w:rsidRPr="00226489" w14:paraId="0626BBEE" w14:textId="77777777" w:rsidTr="004542E8">
        <w:trPr>
          <w:tblCellSpacing w:w="15" w:type="dxa"/>
        </w:trPr>
        <w:tc>
          <w:tcPr>
            <w:tcW w:w="0" w:type="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3"/>
              <w:gridCol w:w="6579"/>
            </w:tblGrid>
            <w:tr w:rsidR="004542E8" w:rsidRPr="00226489" w14:paraId="1BE5CA3B" w14:textId="77777777" w:rsidTr="004542E8">
              <w:trPr>
                <w:tblCellSpacing w:w="15" w:type="dxa"/>
              </w:trPr>
              <w:tc>
                <w:tcPr>
                  <w:tcW w:w="0" w:type="auto"/>
                  <w:vAlign w:val="center"/>
                  <w:hideMark/>
                </w:tcPr>
                <w:p w14:paraId="549F377A" w14:textId="77777777" w:rsidR="004542E8" w:rsidRPr="00226489" w:rsidRDefault="004542E8" w:rsidP="00AF3662">
                  <w:pPr>
                    <w:pStyle w:val="Nessunaspaziatura"/>
                    <w:jc w:val="both"/>
                  </w:pPr>
                  <w:r w:rsidRPr="00226489">
                    <w:rPr>
                      <w:rStyle w:val="Enfasigrassetto"/>
                    </w:rPr>
                    <w:t>Università</w:t>
                  </w:r>
                  <w:r w:rsidRPr="00226489">
                    <w:t xml:space="preserve"> </w:t>
                  </w:r>
                </w:p>
              </w:tc>
              <w:tc>
                <w:tcPr>
                  <w:tcW w:w="0" w:type="auto"/>
                  <w:vAlign w:val="center"/>
                  <w:hideMark/>
                </w:tcPr>
                <w:p w14:paraId="7B202985" w14:textId="77777777" w:rsidR="004542E8" w:rsidRPr="00226489" w:rsidRDefault="004542E8" w:rsidP="00AF3662">
                  <w:pPr>
                    <w:pStyle w:val="Nessunaspaziatura"/>
                    <w:jc w:val="both"/>
                  </w:pPr>
                  <w:r w:rsidRPr="00226489">
                    <w:t>Università degli Studi "Magna Graecia" di CATANZARO</w:t>
                  </w:r>
                </w:p>
              </w:tc>
            </w:tr>
            <w:tr w:rsidR="004542E8" w:rsidRPr="00226489" w14:paraId="56D8D5F2" w14:textId="77777777" w:rsidTr="004542E8">
              <w:trPr>
                <w:tblCellSpacing w:w="15" w:type="dxa"/>
              </w:trPr>
              <w:tc>
                <w:tcPr>
                  <w:tcW w:w="0" w:type="auto"/>
                  <w:vAlign w:val="center"/>
                  <w:hideMark/>
                </w:tcPr>
                <w:p w14:paraId="598BF719" w14:textId="444565E7" w:rsidR="004542E8" w:rsidRPr="00226489" w:rsidRDefault="004542E8" w:rsidP="00AF3662">
                  <w:pPr>
                    <w:pStyle w:val="Nessunaspaziatura"/>
                    <w:jc w:val="both"/>
                  </w:pPr>
                  <w:r w:rsidRPr="00226489">
                    <w:rPr>
                      <w:rStyle w:val="Enfasigrassetto"/>
                    </w:rPr>
                    <w:t>Nome del corso in italiano</w:t>
                  </w:r>
                  <w:r w:rsidRPr="00226489">
                    <w:t xml:space="preserve"> </w:t>
                  </w:r>
                </w:p>
              </w:tc>
              <w:tc>
                <w:tcPr>
                  <w:tcW w:w="0" w:type="auto"/>
                  <w:vAlign w:val="center"/>
                  <w:hideMark/>
                </w:tcPr>
                <w:p w14:paraId="699366BA" w14:textId="77777777" w:rsidR="004542E8" w:rsidRPr="00226489" w:rsidRDefault="004542E8" w:rsidP="00AF3662">
                  <w:pPr>
                    <w:pStyle w:val="Nessunaspaziatura"/>
                    <w:jc w:val="both"/>
                  </w:pPr>
                  <w:r w:rsidRPr="00226489">
                    <w:t xml:space="preserve">Odontoiatria e protesi dentaria </w:t>
                  </w:r>
                </w:p>
              </w:tc>
            </w:tr>
            <w:tr w:rsidR="004542E8" w:rsidRPr="00226489" w14:paraId="2B92EFFD" w14:textId="77777777" w:rsidTr="004542E8">
              <w:trPr>
                <w:tblCellSpacing w:w="15" w:type="dxa"/>
              </w:trPr>
              <w:tc>
                <w:tcPr>
                  <w:tcW w:w="0" w:type="auto"/>
                  <w:vAlign w:val="center"/>
                  <w:hideMark/>
                </w:tcPr>
                <w:p w14:paraId="57947FBA" w14:textId="2497E1F6" w:rsidR="004542E8" w:rsidRPr="00226489" w:rsidRDefault="004542E8" w:rsidP="00AF3662">
                  <w:pPr>
                    <w:pStyle w:val="Nessunaspaziatura"/>
                    <w:jc w:val="both"/>
                  </w:pPr>
                  <w:r w:rsidRPr="00226489">
                    <w:rPr>
                      <w:rStyle w:val="Enfasigrassetto"/>
                    </w:rPr>
                    <w:t>Nome del corso in inglese</w:t>
                  </w:r>
                </w:p>
              </w:tc>
              <w:tc>
                <w:tcPr>
                  <w:tcW w:w="0" w:type="auto"/>
                  <w:vAlign w:val="center"/>
                  <w:hideMark/>
                </w:tcPr>
                <w:p w14:paraId="76F4E21A" w14:textId="77777777" w:rsidR="004542E8" w:rsidRPr="00226489" w:rsidRDefault="004542E8" w:rsidP="00AF3662">
                  <w:pPr>
                    <w:pStyle w:val="Nessunaspaziatura"/>
                    <w:jc w:val="both"/>
                  </w:pPr>
                  <w:r w:rsidRPr="00226489">
                    <w:t xml:space="preserve">School of </w:t>
                  </w:r>
                  <w:proofErr w:type="spellStart"/>
                  <w:r w:rsidRPr="00226489">
                    <w:t>Dentistry</w:t>
                  </w:r>
                  <w:proofErr w:type="spellEnd"/>
                  <w:r w:rsidRPr="00226489">
                    <w:t xml:space="preserve"> </w:t>
                  </w:r>
                </w:p>
              </w:tc>
            </w:tr>
            <w:tr w:rsidR="004542E8" w:rsidRPr="00226489" w14:paraId="30D7433F" w14:textId="77777777" w:rsidTr="004542E8">
              <w:trPr>
                <w:tblCellSpacing w:w="15" w:type="dxa"/>
              </w:trPr>
              <w:tc>
                <w:tcPr>
                  <w:tcW w:w="0" w:type="auto"/>
                  <w:vAlign w:val="center"/>
                  <w:hideMark/>
                </w:tcPr>
                <w:p w14:paraId="3F0D9028" w14:textId="71C465F8" w:rsidR="004542E8" w:rsidRPr="00226489" w:rsidRDefault="004542E8" w:rsidP="00AF3662">
                  <w:pPr>
                    <w:pStyle w:val="Nessunaspaziatura"/>
                    <w:jc w:val="both"/>
                  </w:pPr>
                  <w:r w:rsidRPr="00226489">
                    <w:rPr>
                      <w:rStyle w:val="Enfasigrassetto"/>
                    </w:rPr>
                    <w:t>Classe</w:t>
                  </w:r>
                </w:p>
              </w:tc>
              <w:tc>
                <w:tcPr>
                  <w:tcW w:w="0" w:type="auto"/>
                  <w:vAlign w:val="center"/>
                  <w:hideMark/>
                </w:tcPr>
                <w:p w14:paraId="066020CE" w14:textId="3CA463BB" w:rsidR="004542E8" w:rsidRPr="00226489" w:rsidRDefault="004542E8" w:rsidP="00AF3662">
                  <w:pPr>
                    <w:pStyle w:val="Nessunaspaziatura"/>
                    <w:jc w:val="both"/>
                  </w:pPr>
                  <w:r w:rsidRPr="00226489">
                    <w:t>LM-46 - Odontoiatria e protesi dentaria</w:t>
                  </w:r>
                </w:p>
              </w:tc>
            </w:tr>
            <w:tr w:rsidR="004542E8" w:rsidRPr="00226489" w14:paraId="0AFE84FE" w14:textId="77777777" w:rsidTr="004542E8">
              <w:trPr>
                <w:tblCellSpacing w:w="15" w:type="dxa"/>
              </w:trPr>
              <w:tc>
                <w:tcPr>
                  <w:tcW w:w="0" w:type="auto"/>
                  <w:vAlign w:val="center"/>
                  <w:hideMark/>
                </w:tcPr>
                <w:p w14:paraId="4D3B9B82" w14:textId="0BDB714E" w:rsidR="004542E8" w:rsidRPr="00226489" w:rsidRDefault="004542E8" w:rsidP="00AF3662">
                  <w:pPr>
                    <w:pStyle w:val="Nessunaspaziatura"/>
                    <w:jc w:val="both"/>
                  </w:pPr>
                  <w:r w:rsidRPr="00226489">
                    <w:rPr>
                      <w:rStyle w:val="Enfasigrassetto"/>
                    </w:rPr>
                    <w:t>Lingua in cui si tiene il corso</w:t>
                  </w:r>
                  <w:r w:rsidRPr="00226489">
                    <w:t xml:space="preserve"> </w:t>
                  </w:r>
                </w:p>
              </w:tc>
              <w:tc>
                <w:tcPr>
                  <w:tcW w:w="0" w:type="auto"/>
                  <w:vAlign w:val="center"/>
                  <w:hideMark/>
                </w:tcPr>
                <w:p w14:paraId="02C998FB" w14:textId="6C8D3809" w:rsidR="004542E8" w:rsidRPr="00226489" w:rsidRDefault="004542E8" w:rsidP="00AF3662">
                  <w:pPr>
                    <w:pStyle w:val="Nessunaspaziatura"/>
                    <w:jc w:val="both"/>
                  </w:pPr>
                  <w:r w:rsidRPr="00226489">
                    <w:t>Italiano</w:t>
                  </w:r>
                </w:p>
              </w:tc>
            </w:tr>
            <w:tr w:rsidR="004542E8" w:rsidRPr="00226489" w14:paraId="590BB140" w14:textId="77777777" w:rsidTr="004542E8">
              <w:trPr>
                <w:tblCellSpacing w:w="15" w:type="dxa"/>
              </w:trPr>
              <w:tc>
                <w:tcPr>
                  <w:tcW w:w="0" w:type="auto"/>
                  <w:vAlign w:val="center"/>
                  <w:hideMark/>
                </w:tcPr>
                <w:p w14:paraId="6140B367" w14:textId="1FD8C40F" w:rsidR="004542E8" w:rsidRPr="00226489" w:rsidRDefault="004542E8" w:rsidP="00AF3662">
                  <w:pPr>
                    <w:pStyle w:val="Nessunaspaziatura"/>
                    <w:jc w:val="both"/>
                  </w:pPr>
                  <w:r w:rsidRPr="00226489">
                    <w:rPr>
                      <w:rStyle w:val="Enfasigrassetto"/>
                    </w:rPr>
                    <w:t>Eventuale indirizzo internet del corso di laurea</w:t>
                  </w:r>
                </w:p>
              </w:tc>
              <w:tc>
                <w:tcPr>
                  <w:tcW w:w="0" w:type="auto"/>
                  <w:vAlign w:val="center"/>
                  <w:hideMark/>
                </w:tcPr>
                <w:p w14:paraId="0A2F70EC" w14:textId="77777777" w:rsidR="004542E8" w:rsidRPr="00226489" w:rsidRDefault="004542E8" w:rsidP="00AF3662">
                  <w:pPr>
                    <w:pStyle w:val="Nessunaspaziatura"/>
                    <w:jc w:val="both"/>
                  </w:pPr>
                  <w:hyperlink r:id="rId6" w:tgtFrame="_blank" w:history="1">
                    <w:r w:rsidRPr="00226489">
                      <w:rPr>
                        <w:rStyle w:val="Collegamentoipertestuale"/>
                      </w:rPr>
                      <w:t>https://medicina.unicz.it/corso_studio/odontoiatria_protesi_dentaria</w:t>
                    </w:r>
                  </w:hyperlink>
                  <w:r w:rsidRPr="00226489">
                    <w:t xml:space="preserve"> </w:t>
                  </w:r>
                </w:p>
              </w:tc>
            </w:tr>
            <w:tr w:rsidR="004542E8" w:rsidRPr="00226489" w14:paraId="4B5D7677" w14:textId="77777777" w:rsidTr="004542E8">
              <w:trPr>
                <w:tblCellSpacing w:w="15" w:type="dxa"/>
              </w:trPr>
              <w:tc>
                <w:tcPr>
                  <w:tcW w:w="0" w:type="auto"/>
                  <w:vAlign w:val="center"/>
                  <w:hideMark/>
                </w:tcPr>
                <w:p w14:paraId="309BC1D6" w14:textId="59E634C9" w:rsidR="004542E8" w:rsidRPr="00226489" w:rsidRDefault="004542E8" w:rsidP="00AF3662">
                  <w:pPr>
                    <w:pStyle w:val="Nessunaspaziatura"/>
                    <w:jc w:val="both"/>
                  </w:pPr>
                  <w:r w:rsidRPr="00226489">
                    <w:rPr>
                      <w:rStyle w:val="Enfasigrassetto"/>
                    </w:rPr>
                    <w:t>Tasse</w:t>
                  </w:r>
                </w:p>
              </w:tc>
              <w:tc>
                <w:tcPr>
                  <w:tcW w:w="0" w:type="auto"/>
                  <w:vAlign w:val="center"/>
                  <w:hideMark/>
                </w:tcPr>
                <w:p w14:paraId="6268038F" w14:textId="4BCECD34" w:rsidR="004542E8" w:rsidRPr="00226489" w:rsidRDefault="004542E8" w:rsidP="00AF3662">
                  <w:pPr>
                    <w:pStyle w:val="Nessunaspaziatura"/>
                    <w:jc w:val="both"/>
                  </w:pPr>
                  <w:hyperlink r:id="rId7" w:history="1">
                    <w:r w:rsidRPr="00226489">
                      <w:rPr>
                        <w:rStyle w:val="Collegamentoipertestuale"/>
                      </w:rPr>
                      <w:t>https://web.unicz.it/it/page/tasse-universitarie</w:t>
                    </w:r>
                  </w:hyperlink>
                </w:p>
              </w:tc>
            </w:tr>
            <w:tr w:rsidR="004542E8" w:rsidRPr="00226489" w14:paraId="6BBEE59E" w14:textId="77777777" w:rsidTr="004542E8">
              <w:trPr>
                <w:tblCellSpacing w:w="15" w:type="dxa"/>
              </w:trPr>
              <w:tc>
                <w:tcPr>
                  <w:tcW w:w="0" w:type="auto"/>
                  <w:vAlign w:val="center"/>
                  <w:hideMark/>
                </w:tcPr>
                <w:p w14:paraId="5B969430" w14:textId="77777777" w:rsidR="004542E8" w:rsidRPr="00226489" w:rsidRDefault="004542E8" w:rsidP="00AF3662">
                  <w:pPr>
                    <w:pStyle w:val="Nessunaspaziatura"/>
                    <w:jc w:val="both"/>
                  </w:pPr>
                  <w:r w:rsidRPr="00226489">
                    <w:rPr>
                      <w:rStyle w:val="Enfasigrassetto"/>
                    </w:rPr>
                    <w:t>Modalità di svolgimento</w:t>
                  </w:r>
                  <w:r w:rsidRPr="00226489">
                    <w:t xml:space="preserve"> </w:t>
                  </w:r>
                </w:p>
              </w:tc>
              <w:tc>
                <w:tcPr>
                  <w:tcW w:w="0" w:type="auto"/>
                  <w:vAlign w:val="center"/>
                  <w:hideMark/>
                </w:tcPr>
                <w:p w14:paraId="3ABFD0ED" w14:textId="79921BE3" w:rsidR="004542E8" w:rsidRPr="00226489" w:rsidRDefault="004542E8" w:rsidP="00AF3662">
                  <w:pPr>
                    <w:pStyle w:val="Nessunaspaziatura"/>
                    <w:jc w:val="both"/>
                  </w:pPr>
                  <w:r w:rsidRPr="00226489">
                    <w:t xml:space="preserve">Corso di studio convenzionale </w:t>
                  </w:r>
                </w:p>
              </w:tc>
            </w:tr>
          </w:tbl>
          <w:p w14:paraId="72EE1090" w14:textId="49FEA51A" w:rsidR="004542E8" w:rsidRPr="00226489" w:rsidRDefault="004542E8" w:rsidP="00AF3662">
            <w:pPr>
              <w:jc w:val="both"/>
            </w:pPr>
          </w:p>
        </w:tc>
        <w:tc>
          <w:tcPr>
            <w:tcW w:w="0" w:type="auto"/>
            <w:vAlign w:val="center"/>
          </w:tcPr>
          <w:p w14:paraId="31FE5C46" w14:textId="126F117D" w:rsidR="004542E8" w:rsidRPr="00226489" w:rsidRDefault="004542E8" w:rsidP="00AF3662">
            <w:pPr>
              <w:jc w:val="both"/>
            </w:pPr>
          </w:p>
        </w:tc>
      </w:tr>
      <w:tr w:rsidR="004542E8" w:rsidRPr="00226489" w14:paraId="28254014" w14:textId="77777777" w:rsidTr="004542E8">
        <w:trPr>
          <w:tblCellSpacing w:w="15" w:type="dxa"/>
        </w:trPr>
        <w:tc>
          <w:tcPr>
            <w:tcW w:w="0" w:type="auto"/>
            <w:vAlign w:val="center"/>
          </w:tcPr>
          <w:p w14:paraId="67CF0088" w14:textId="77777777" w:rsidR="004542E8" w:rsidRPr="00226489" w:rsidRDefault="004542E8" w:rsidP="00AF3662">
            <w:pPr>
              <w:jc w:val="both"/>
              <w:rPr>
                <w:b/>
                <w:bCs/>
              </w:rPr>
            </w:pPr>
            <w:r w:rsidRPr="00226489">
              <w:rPr>
                <w:b/>
                <w:bCs/>
              </w:rPr>
              <w:t>Referenti e Strutture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09"/>
              <w:gridCol w:w="4563"/>
            </w:tblGrid>
            <w:tr w:rsidR="004542E8" w:rsidRPr="00226489" w14:paraId="1BA013A1" w14:textId="77777777" w:rsidTr="00B94B72">
              <w:trPr>
                <w:tblCellSpacing w:w="15" w:type="dxa"/>
              </w:trPr>
              <w:tc>
                <w:tcPr>
                  <w:tcW w:w="4864" w:type="dxa"/>
                  <w:vAlign w:val="center"/>
                  <w:hideMark/>
                </w:tcPr>
                <w:p w14:paraId="0FEA9156"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b/>
                      <w:bCs/>
                      <w:kern w:val="0"/>
                      <w:lang w:eastAsia="it-IT"/>
                      <w14:ligatures w14:val="none"/>
                    </w:rPr>
                    <w:t>Presidente (o Referente o Coordinatore) del CdS</w:t>
                  </w:r>
                </w:p>
              </w:tc>
              <w:tc>
                <w:tcPr>
                  <w:tcW w:w="4518" w:type="dxa"/>
                  <w:vAlign w:val="center"/>
                  <w:hideMark/>
                </w:tcPr>
                <w:p w14:paraId="34D6484A"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 xml:space="preserve">GIUDICE Amerigo </w:t>
                  </w:r>
                </w:p>
              </w:tc>
            </w:tr>
            <w:tr w:rsidR="004542E8" w:rsidRPr="00226489" w14:paraId="1FD3F16D" w14:textId="77777777" w:rsidTr="00B94B72">
              <w:trPr>
                <w:tblCellSpacing w:w="15" w:type="dxa"/>
              </w:trPr>
              <w:tc>
                <w:tcPr>
                  <w:tcW w:w="4864" w:type="dxa"/>
                  <w:vAlign w:val="center"/>
                  <w:hideMark/>
                </w:tcPr>
                <w:p w14:paraId="671DCBAC"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b/>
                      <w:bCs/>
                      <w:kern w:val="0"/>
                      <w:lang w:eastAsia="it-IT"/>
                      <w14:ligatures w14:val="none"/>
                    </w:rPr>
                    <w:t>Organo Collegiale di gestione del corso di studio</w:t>
                  </w:r>
                </w:p>
              </w:tc>
              <w:tc>
                <w:tcPr>
                  <w:tcW w:w="4518" w:type="dxa"/>
                  <w:vAlign w:val="center"/>
                  <w:hideMark/>
                </w:tcPr>
                <w:p w14:paraId="7D1B6A8F"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Scuola di Medicina e Chirurgia</w:t>
                  </w:r>
                </w:p>
              </w:tc>
            </w:tr>
            <w:tr w:rsidR="004542E8" w:rsidRPr="00226489" w14:paraId="0525B7D0" w14:textId="77777777" w:rsidTr="00B94B72">
              <w:trPr>
                <w:tblCellSpacing w:w="15" w:type="dxa"/>
              </w:trPr>
              <w:tc>
                <w:tcPr>
                  <w:tcW w:w="4864" w:type="dxa"/>
                  <w:vAlign w:val="center"/>
                  <w:hideMark/>
                </w:tcPr>
                <w:p w14:paraId="20E1B7A5"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b/>
                      <w:bCs/>
                      <w:kern w:val="0"/>
                      <w:lang w:eastAsia="it-IT"/>
                      <w14:ligatures w14:val="none"/>
                    </w:rPr>
                    <w:t>Struttura didattica di riferimento</w:t>
                  </w:r>
                </w:p>
              </w:tc>
              <w:tc>
                <w:tcPr>
                  <w:tcW w:w="4518" w:type="dxa"/>
                  <w:vAlign w:val="center"/>
                  <w:hideMark/>
                </w:tcPr>
                <w:p w14:paraId="0E4EEEA4"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Scienze della Salute (Dipartimento Legge 240)</w:t>
                  </w:r>
                </w:p>
              </w:tc>
            </w:tr>
            <w:tr w:rsidR="004542E8" w:rsidRPr="00226489" w14:paraId="7F48EEAD" w14:textId="77777777" w:rsidTr="00B94B72">
              <w:trPr>
                <w:tblCellSpacing w:w="15" w:type="dxa"/>
              </w:trPr>
              <w:tc>
                <w:tcPr>
                  <w:tcW w:w="4864" w:type="dxa"/>
                  <w:vAlign w:val="center"/>
                  <w:hideMark/>
                </w:tcPr>
                <w:p w14:paraId="13095CD0"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b/>
                      <w:bCs/>
                      <w:kern w:val="0"/>
                      <w:lang w:eastAsia="it-IT"/>
                      <w14:ligatures w14:val="none"/>
                    </w:rPr>
                    <w:t>Eventuali strutture didattiche coinvolte</w:t>
                  </w:r>
                  <w:r w:rsidRPr="00226489">
                    <w:rPr>
                      <w:rFonts w:eastAsia="Times New Roman" w:cs="Times New Roman"/>
                      <w:kern w:val="0"/>
                      <w:lang w:eastAsia="it-IT"/>
                      <w14:ligatures w14:val="none"/>
                    </w:rPr>
                    <w:t xml:space="preserve"> </w:t>
                  </w:r>
                </w:p>
              </w:tc>
              <w:tc>
                <w:tcPr>
                  <w:tcW w:w="4518" w:type="dxa"/>
                  <w:vAlign w:val="center"/>
                  <w:hideMark/>
                </w:tcPr>
                <w:p w14:paraId="693A5E84"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 xml:space="preserve">Medicina Sperimentale e Clinica </w:t>
                  </w:r>
                  <w:r w:rsidRPr="00226489">
                    <w:rPr>
                      <w:rFonts w:eastAsia="Times New Roman" w:cs="Times New Roman"/>
                      <w:kern w:val="0"/>
                      <w:lang w:eastAsia="it-IT"/>
                      <w14:ligatures w14:val="none"/>
                    </w:rPr>
                    <w:br/>
                    <w:t xml:space="preserve">Scienze Mediche e Chirurgiche </w:t>
                  </w:r>
                </w:p>
              </w:tc>
            </w:tr>
            <w:tr w:rsidR="004542E8" w:rsidRPr="00226489" w14:paraId="60F5F581" w14:textId="77777777" w:rsidTr="00B94B72">
              <w:trPr>
                <w:tblCellSpacing w:w="15" w:type="dxa"/>
              </w:trPr>
              <w:tc>
                <w:tcPr>
                  <w:tcW w:w="4864" w:type="dxa"/>
                  <w:vAlign w:val="center"/>
                </w:tcPr>
                <w:p w14:paraId="4D979E5E" w14:textId="77777777" w:rsidR="004542E8" w:rsidRPr="00226489" w:rsidRDefault="004542E8" w:rsidP="00AF3662">
                  <w:pPr>
                    <w:spacing w:after="0" w:line="240" w:lineRule="auto"/>
                    <w:jc w:val="both"/>
                    <w:rPr>
                      <w:rFonts w:eastAsia="Times New Roman" w:cs="Times New Roman"/>
                      <w:b/>
                      <w:bCs/>
                      <w:kern w:val="0"/>
                      <w:lang w:eastAsia="it-IT"/>
                      <w14:ligatures w14:val="none"/>
                    </w:rPr>
                  </w:pPr>
                  <w:r w:rsidRPr="00226489">
                    <w:rPr>
                      <w:rFonts w:eastAsia="Times New Roman" w:cs="Times New Roman"/>
                      <w:b/>
                      <w:bCs/>
                      <w:kern w:val="0"/>
                      <w:lang w:eastAsia="it-IT"/>
                      <w14:ligatures w14:val="none"/>
                    </w:rPr>
                    <w:t>Docenti di Riferimento</w:t>
                  </w:r>
                </w:p>
                <w:p w14:paraId="2F12D482" w14:textId="77777777" w:rsidR="004542E8" w:rsidRPr="00226489" w:rsidRDefault="004542E8" w:rsidP="00AF3662">
                  <w:pPr>
                    <w:spacing w:after="0" w:line="240" w:lineRule="auto"/>
                    <w:jc w:val="both"/>
                    <w:rPr>
                      <w:rFonts w:eastAsia="Times New Roman" w:cs="Times New Roman"/>
                      <w:b/>
                      <w:bCs/>
                      <w:kern w:val="0"/>
                      <w:lang w:eastAsia="it-IT"/>
                      <w14:ligatures w14:val="none"/>
                    </w:rPr>
                  </w:pPr>
                </w:p>
                <w:p w14:paraId="45C2FF9E" w14:textId="0B5F8FCC" w:rsidR="004542E8" w:rsidRPr="00226489" w:rsidRDefault="004542E8" w:rsidP="00AF3662">
                  <w:pPr>
                    <w:spacing w:after="0" w:line="240" w:lineRule="auto"/>
                    <w:jc w:val="both"/>
                    <w:rPr>
                      <w:rFonts w:eastAsia="Times New Roman" w:cs="Times New Roman"/>
                      <w:b/>
                      <w:bCs/>
                      <w:kern w:val="0"/>
                      <w:lang w:eastAsia="it-IT"/>
                      <w14:ligatures w14:val="none"/>
                    </w:rPr>
                  </w:pPr>
                </w:p>
              </w:tc>
              <w:tc>
                <w:tcPr>
                  <w:tcW w:w="4518" w:type="dxa"/>
                  <w:vAlign w:val="center"/>
                </w:tcPr>
                <w:p w14:paraId="059BBE47" w14:textId="0FB91E58" w:rsidR="004542E8" w:rsidRPr="00226489" w:rsidRDefault="00B94B72"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Documentazione fornita dalla Scuola di Medicina e Chirurgia</w:t>
                  </w:r>
                </w:p>
                <w:p w14:paraId="64D52B96" w14:textId="6274B559" w:rsidR="00B94B72" w:rsidRPr="00226489" w:rsidRDefault="00B94B72" w:rsidP="00AF3662">
                  <w:pPr>
                    <w:spacing w:after="0" w:line="240" w:lineRule="auto"/>
                    <w:jc w:val="both"/>
                    <w:rPr>
                      <w:rFonts w:eastAsia="Times New Roman" w:cs="Times New Roman"/>
                      <w:kern w:val="0"/>
                      <w:lang w:eastAsia="it-IT"/>
                      <w14:ligatures w14:val="none"/>
                    </w:rPr>
                  </w:pPr>
                </w:p>
              </w:tc>
            </w:tr>
            <w:tr w:rsidR="004542E8" w:rsidRPr="00226489" w14:paraId="6C798C73" w14:textId="77777777" w:rsidTr="00B94B72">
              <w:trPr>
                <w:tblCellSpacing w:w="15" w:type="dxa"/>
              </w:trPr>
              <w:tc>
                <w:tcPr>
                  <w:tcW w:w="4864" w:type="dxa"/>
                  <w:vAlign w:val="center"/>
                </w:tcPr>
                <w:p w14:paraId="6349C098" w14:textId="4C41D594" w:rsidR="004542E8" w:rsidRPr="00226489" w:rsidRDefault="004542E8" w:rsidP="00AF3662">
                  <w:pPr>
                    <w:spacing w:after="0" w:line="240" w:lineRule="auto"/>
                    <w:jc w:val="both"/>
                    <w:rPr>
                      <w:rFonts w:eastAsia="Times New Roman" w:cs="Times New Roman"/>
                      <w:b/>
                      <w:bCs/>
                      <w:kern w:val="0"/>
                      <w:lang w:eastAsia="it-IT"/>
                      <w14:ligatures w14:val="none"/>
                    </w:rPr>
                  </w:pPr>
                  <w:r w:rsidRPr="00226489">
                    <w:rPr>
                      <w:rFonts w:eastAsia="Times New Roman" w:cs="Times New Roman"/>
                      <w:b/>
                      <w:bCs/>
                      <w:kern w:val="0"/>
                      <w:lang w:eastAsia="it-IT"/>
                      <w14:ligatures w14:val="none"/>
                    </w:rPr>
                    <w:t>Rappresentanti Studenti</w:t>
                  </w:r>
                </w:p>
              </w:tc>
              <w:tc>
                <w:tcPr>
                  <w:tcW w:w="4518" w:type="dxa"/>
                  <w:vAlign w:val="center"/>
                </w:tcPr>
                <w:p w14:paraId="2A97A9AE" w14:textId="5C4831E1" w:rsidR="004542E8" w:rsidRPr="00226489" w:rsidRDefault="00B94B72"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SIRAGUSA Davide</w:t>
                  </w:r>
                </w:p>
                <w:p w14:paraId="1F6E7B36" w14:textId="4923E344" w:rsidR="004542E8" w:rsidRPr="00226489" w:rsidRDefault="00B94B72"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ZICARELLI Pietromario</w:t>
                  </w:r>
                </w:p>
              </w:tc>
            </w:tr>
            <w:tr w:rsidR="004542E8" w:rsidRPr="00226489" w14:paraId="78EF719C" w14:textId="77777777" w:rsidTr="00B94B72">
              <w:trPr>
                <w:tblCellSpacing w:w="15" w:type="dxa"/>
              </w:trPr>
              <w:tc>
                <w:tcPr>
                  <w:tcW w:w="4864" w:type="dxa"/>
                  <w:vAlign w:val="center"/>
                </w:tcPr>
                <w:p w14:paraId="661AF82D" w14:textId="6C7B0235" w:rsidR="004542E8" w:rsidRPr="00226489" w:rsidRDefault="004542E8" w:rsidP="00AF3662">
                  <w:pPr>
                    <w:spacing w:after="0" w:line="240" w:lineRule="auto"/>
                    <w:jc w:val="both"/>
                    <w:rPr>
                      <w:rFonts w:eastAsia="Times New Roman" w:cs="Times New Roman"/>
                      <w:b/>
                      <w:bCs/>
                      <w:kern w:val="0"/>
                      <w:lang w:eastAsia="it-IT"/>
                      <w14:ligatures w14:val="none"/>
                    </w:rPr>
                  </w:pPr>
                  <w:r w:rsidRPr="00226489">
                    <w:rPr>
                      <w:rFonts w:eastAsia="Times New Roman" w:cs="Times New Roman"/>
                      <w:b/>
                      <w:bCs/>
                      <w:kern w:val="0"/>
                      <w:lang w:eastAsia="it-IT"/>
                      <w14:ligatures w14:val="none"/>
                    </w:rPr>
                    <w:t>Gruppo di gestione AQ</w:t>
                  </w:r>
                </w:p>
              </w:tc>
              <w:tc>
                <w:tcPr>
                  <w:tcW w:w="4518" w:type="dxa"/>
                  <w:vAlign w:val="center"/>
                </w:tcPr>
                <w:p w14:paraId="13A7EB15" w14:textId="17C3C41E" w:rsidR="00B94B72" w:rsidRPr="00226489" w:rsidRDefault="006E6C75"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Presidente CdS:</w:t>
                  </w:r>
                </w:p>
                <w:p w14:paraId="3874ADB3" w14:textId="599DBEA7" w:rsidR="00B94B72" w:rsidRPr="00226489" w:rsidRDefault="00B94B72"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GIUDICE Amerigo</w:t>
                  </w:r>
                </w:p>
                <w:p w14:paraId="4C478325" w14:textId="77777777" w:rsidR="006E6C75" w:rsidRPr="00226489" w:rsidRDefault="006E6C75" w:rsidP="006E6C75">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Docenti:</w:t>
                  </w:r>
                </w:p>
                <w:p w14:paraId="26F32F31" w14:textId="3F12347E" w:rsidR="00B94B72" w:rsidRPr="00226489" w:rsidRDefault="00B94B72"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DI VITO Anna</w:t>
                  </w:r>
                </w:p>
                <w:p w14:paraId="1BB7A444" w14:textId="41ED7A06" w:rsidR="006E6C75" w:rsidRPr="00226489" w:rsidRDefault="006E6C75"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LEO Antonio</w:t>
                  </w:r>
                </w:p>
                <w:p w14:paraId="47C529AE" w14:textId="6E7F10E2" w:rsidR="00B94B72" w:rsidRPr="00226489" w:rsidRDefault="00B94B72"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BENNARDO Francesco</w:t>
                  </w:r>
                </w:p>
                <w:p w14:paraId="354DD9E7" w14:textId="77777777" w:rsidR="00B94B72" w:rsidRPr="00226489" w:rsidRDefault="00B94B72" w:rsidP="00B94B7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Studenti:</w:t>
                  </w:r>
                </w:p>
                <w:p w14:paraId="0BAC2182" w14:textId="7CA83506" w:rsidR="00B94B72" w:rsidRPr="00226489" w:rsidRDefault="00B94B72" w:rsidP="00B94B7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SIRAGUSA Davide</w:t>
                  </w:r>
                  <w:r w:rsidR="006E6C75" w:rsidRPr="00226489">
                    <w:rPr>
                      <w:rFonts w:eastAsia="Times New Roman" w:cs="Times New Roman"/>
                      <w:kern w:val="0"/>
                      <w:lang w:eastAsia="it-IT"/>
                      <w14:ligatures w14:val="none"/>
                    </w:rPr>
                    <w:t xml:space="preserve"> (CCdS)</w:t>
                  </w:r>
                </w:p>
                <w:p w14:paraId="3073CC86" w14:textId="534A3179" w:rsidR="006E6C75" w:rsidRPr="00226489" w:rsidRDefault="00B94B72" w:rsidP="006E6C75">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ZICARELLI Pietromario</w:t>
                  </w:r>
                  <w:r w:rsidR="006E6C75" w:rsidRPr="00226489">
                    <w:rPr>
                      <w:rFonts w:eastAsia="Times New Roman" w:cs="Times New Roman"/>
                      <w:kern w:val="0"/>
                      <w:lang w:eastAsia="it-IT"/>
                      <w14:ligatures w14:val="none"/>
                    </w:rPr>
                    <w:t xml:space="preserve"> (CCdS)</w:t>
                  </w:r>
                </w:p>
                <w:p w14:paraId="54C455DC" w14:textId="414F5013" w:rsidR="006E6C75" w:rsidRPr="00226489" w:rsidRDefault="006E6C75" w:rsidP="006E6C75">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PORCO Virginia Venere (AISO)</w:t>
                  </w:r>
                </w:p>
                <w:p w14:paraId="25EFA7F3" w14:textId="77777777" w:rsidR="00B94B72" w:rsidRPr="00226489" w:rsidRDefault="00B94B72" w:rsidP="00B94B7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Personale Tecnico-Amministrativo:</w:t>
                  </w:r>
                </w:p>
                <w:p w14:paraId="33AFC398" w14:textId="1AFFCC15" w:rsidR="00B94B72" w:rsidRPr="00226489" w:rsidRDefault="005D21E2" w:rsidP="00B94B72">
                  <w:pPr>
                    <w:spacing w:after="0" w:line="240" w:lineRule="auto"/>
                    <w:jc w:val="both"/>
                    <w:rPr>
                      <w:rFonts w:eastAsia="Times New Roman" w:cs="Times New Roman"/>
                      <w:kern w:val="0"/>
                      <w:lang w:eastAsia="it-IT"/>
                      <w14:ligatures w14:val="none"/>
                    </w:rPr>
                  </w:pPr>
                  <w:r w:rsidRPr="005D21E2">
                    <w:rPr>
                      <w:rFonts w:eastAsia="Times New Roman" w:cs="Times New Roman"/>
                      <w:kern w:val="0"/>
                      <w:highlight w:val="yellow"/>
                      <w:lang w:eastAsia="it-IT"/>
                      <w14:ligatures w14:val="none"/>
                    </w:rPr>
                    <w:t>CARTAGINESE Rosa Carla/</w:t>
                  </w:r>
                  <w:r w:rsidR="00295CFE" w:rsidRPr="005D21E2">
                    <w:rPr>
                      <w:rFonts w:eastAsia="Times New Roman" w:cs="Times New Roman"/>
                      <w:kern w:val="0"/>
                      <w:highlight w:val="yellow"/>
                      <w:lang w:eastAsia="it-IT"/>
                      <w14:ligatures w14:val="none"/>
                    </w:rPr>
                    <w:t>BIANCO</w:t>
                  </w:r>
                  <w:r w:rsidR="00B94B72" w:rsidRPr="005D21E2">
                    <w:rPr>
                      <w:rFonts w:eastAsia="Times New Roman" w:cs="Times New Roman"/>
                      <w:kern w:val="0"/>
                      <w:highlight w:val="yellow"/>
                      <w:lang w:eastAsia="it-IT"/>
                      <w14:ligatures w14:val="none"/>
                    </w:rPr>
                    <w:t xml:space="preserve"> </w:t>
                  </w:r>
                  <w:r w:rsidR="00295CFE" w:rsidRPr="005D21E2">
                    <w:rPr>
                      <w:rFonts w:eastAsia="Times New Roman" w:cs="Times New Roman"/>
                      <w:kern w:val="0"/>
                      <w:highlight w:val="yellow"/>
                      <w:lang w:eastAsia="it-IT"/>
                      <w14:ligatures w14:val="none"/>
                    </w:rPr>
                    <w:t>Adele</w:t>
                  </w:r>
                </w:p>
              </w:tc>
            </w:tr>
            <w:tr w:rsidR="004542E8" w:rsidRPr="00226489" w14:paraId="4C4A0090" w14:textId="77777777" w:rsidTr="00B94B72">
              <w:trPr>
                <w:tblCellSpacing w:w="15" w:type="dxa"/>
              </w:trPr>
              <w:tc>
                <w:tcPr>
                  <w:tcW w:w="4864" w:type="dxa"/>
                  <w:vAlign w:val="center"/>
                </w:tcPr>
                <w:p w14:paraId="0CEA336A" w14:textId="565BE5F1" w:rsidR="004542E8" w:rsidRPr="00226489" w:rsidRDefault="004542E8" w:rsidP="00AF3662">
                  <w:pPr>
                    <w:spacing w:after="0" w:line="240" w:lineRule="auto"/>
                    <w:jc w:val="both"/>
                    <w:rPr>
                      <w:rFonts w:eastAsia="Times New Roman" w:cs="Times New Roman"/>
                      <w:b/>
                      <w:bCs/>
                      <w:kern w:val="0"/>
                      <w:lang w:eastAsia="it-IT"/>
                      <w14:ligatures w14:val="none"/>
                    </w:rPr>
                  </w:pPr>
                  <w:r w:rsidRPr="00226489">
                    <w:rPr>
                      <w:rFonts w:eastAsia="Times New Roman" w:cs="Times New Roman"/>
                      <w:b/>
                      <w:bCs/>
                      <w:kern w:val="0"/>
                      <w:lang w:eastAsia="it-IT"/>
                      <w14:ligatures w14:val="none"/>
                    </w:rPr>
                    <w:t>Tutor</w:t>
                  </w:r>
                </w:p>
              </w:tc>
              <w:tc>
                <w:tcPr>
                  <w:tcW w:w="4518" w:type="dxa"/>
                  <w:vAlign w:val="center"/>
                </w:tcPr>
                <w:p w14:paraId="16E644C3"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CRISTOFARO Maria Giulia</w:t>
                  </w:r>
                </w:p>
                <w:p w14:paraId="454976C7" w14:textId="77777777"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GIUDICE Amerigo</w:t>
                  </w:r>
                </w:p>
                <w:p w14:paraId="0FC32408" w14:textId="5E96FC8E" w:rsidR="004542E8" w:rsidRPr="00226489" w:rsidRDefault="004542E8" w:rsidP="00AF3662">
                  <w:pPr>
                    <w:spacing w:after="0" w:line="240" w:lineRule="auto"/>
                    <w:jc w:val="both"/>
                    <w:rPr>
                      <w:rFonts w:eastAsia="Times New Roman" w:cs="Times New Roman"/>
                      <w:kern w:val="0"/>
                      <w:lang w:eastAsia="it-IT"/>
                      <w14:ligatures w14:val="none"/>
                    </w:rPr>
                  </w:pPr>
                  <w:r w:rsidRPr="00226489">
                    <w:rPr>
                      <w:rFonts w:eastAsia="Times New Roman" w:cs="Times New Roman"/>
                      <w:kern w:val="0"/>
                      <w:lang w:eastAsia="it-IT"/>
                      <w14:ligatures w14:val="none"/>
                    </w:rPr>
                    <w:t>PADUANO Sergio</w:t>
                  </w:r>
                </w:p>
              </w:tc>
            </w:tr>
          </w:tbl>
          <w:p w14:paraId="17044C6A" w14:textId="47AB1446" w:rsidR="004542E8" w:rsidRPr="00226489" w:rsidRDefault="004542E8" w:rsidP="00AF3662">
            <w:pPr>
              <w:jc w:val="both"/>
            </w:pPr>
          </w:p>
        </w:tc>
        <w:tc>
          <w:tcPr>
            <w:tcW w:w="0" w:type="auto"/>
            <w:vAlign w:val="center"/>
          </w:tcPr>
          <w:p w14:paraId="1AF445C4" w14:textId="4910B53B" w:rsidR="004542E8" w:rsidRPr="00226489" w:rsidRDefault="004542E8" w:rsidP="00AF3662">
            <w:pPr>
              <w:jc w:val="both"/>
            </w:pPr>
          </w:p>
        </w:tc>
      </w:tr>
    </w:tbl>
    <w:p w14:paraId="689E7A51" w14:textId="77777777" w:rsidR="004542E8" w:rsidRPr="00226489" w:rsidRDefault="004542E8" w:rsidP="00AF3662">
      <w:pPr>
        <w:jc w:val="both"/>
        <w:rPr>
          <w:b/>
          <w:bCs/>
          <w:u w:val="single"/>
        </w:rPr>
      </w:pPr>
      <w:r w:rsidRPr="00226489">
        <w:rPr>
          <w:b/>
          <w:bCs/>
          <w:u w:val="single"/>
        </w:rPr>
        <w:t>Il Corso di Studio in breve</w:t>
      </w:r>
    </w:p>
    <w:p w14:paraId="67903CBD" w14:textId="0C40A947" w:rsidR="004542E8" w:rsidRPr="00226489" w:rsidRDefault="004542E8" w:rsidP="00AF3662">
      <w:pPr>
        <w:jc w:val="both"/>
      </w:pPr>
      <w:r w:rsidRPr="00226489">
        <w:t xml:space="preserve">Il Corso di Laurea Magistrale a ciclo unico in Odontoiatria e Protesi Dentaria (CLOPD) ha durata di sei anni (ex DM 270/04). In linea con i percorsi formativi dei Paesi dell'Unione Europea, il CdS ha l’obiettivo di formare una figura professionale, l'Odontoiatra, e ne garantisce il diritto di stabilimento e di esercizio professionale con il riconoscimento bilaterale dei titoli di studio tra i Paesi dell'UE, in base alle Direttive 2005/36/CE e 2013/55/UE. A tal fine è indispensabile una congruità tra numero di studenti iscritti e le potenzialità formative degli Atenei; questa è la motivazione dell’istituzione del numero programmato, </w:t>
      </w:r>
      <w:r w:rsidRPr="00226489">
        <w:lastRenderedPageBreak/>
        <w:t xml:space="preserve">in Italia come in altri Paesi dell'UE (Legge 264/99). Inizialmente istituito in Italia con il DPR 135/1980 in ottemperanza alle Direttive europee [686 e 687/78], il Corso aveva una durata di cinque anni. A partire dall’A.A. 2010-2011 il corso è nella sua configurazione attuale, con un numero complessivo di 360 crediti formativi ed il sesto anno di formazione prevalentemente professionalizzante. La distribuzione dei 360 crediti formativi è stata determinata nel rispetto delle condizioni riportate negli allegati del DM del  1649 del 19/12/2023, che stabilisce i crediti da attribuire agli ambiti disciplinari includenti attività formative 'indispensabili' alla formazione dell'odontoiatra e primariamente l’applicazione di criteri di semplificazione e flessibilità al fine di favorire le occasioni di approfondimento critico e l’interdisciplinarietà, riservando un numero non inferiore a 30 i crediti alle attività formative vocazionali e affini o integrative. </w:t>
      </w:r>
    </w:p>
    <w:p w14:paraId="2377181F" w14:textId="4595EEF2" w:rsidR="004542E8" w:rsidRPr="00226489" w:rsidRDefault="004542E8" w:rsidP="00AF3662">
      <w:pPr>
        <w:jc w:val="both"/>
      </w:pPr>
      <w:r w:rsidRPr="00226489">
        <w:t xml:space="preserve">Con l’introduzione della legge 8 novembre 2021, n. 163, ai sensi degli articoli 1 e 3 l’esame finale per il conseguimento della laurea magistrale a ciclo unico in Odontoiatria e protesi dentaria - classe LM-46 abilita all’esercizio della professione di odontoiatra. A tal fine è prevista l’acquisizione delle competenze professionali mediante un Tirocinio Pratico-Valutativo (TPV) interno al corso di studi, la cui efficacia è provata con un prova pratica valutativa (PPV) con eventuale giudizio di idoneità volta ad accertare il livello di preparazione pratica del candidato per l’abilitazione all’esercizio della professione e che precede la discussione della tesi di laurea, secondo le modalità individuate dal protocollo redatto dalla Conferenza permanente dei presidenti dei corsi di laurea in Odontoiatria e protesi dentaria, d’intesa con la Commissione Albo </w:t>
      </w:r>
      <w:r w:rsidR="00E02D04" w:rsidRPr="00226489">
        <w:t>O</w:t>
      </w:r>
      <w:r w:rsidRPr="00226489">
        <w:t xml:space="preserve">dontoiatri </w:t>
      </w:r>
      <w:r w:rsidR="00E02D04" w:rsidRPr="00226489">
        <w:t xml:space="preserve">(CAO) </w:t>
      </w:r>
      <w:r w:rsidRPr="00226489">
        <w:t>nazionale.</w:t>
      </w:r>
    </w:p>
    <w:p w14:paraId="48479059" w14:textId="0C3451A7" w:rsidR="004542E8" w:rsidRPr="00226489" w:rsidRDefault="004542E8" w:rsidP="00AF3662">
      <w:pPr>
        <w:jc w:val="both"/>
      </w:pPr>
      <w:r w:rsidRPr="00226489">
        <w:t>La professione di Odontoiatra, istituita in Italia dalla Legge 409/85, è esercitata da coloro che sono in possesso del diploma di Laurea in Odontoiatria e Protesi Dentaria e che abbiano superato un apposito esame di Stato e relativa abilitazione professionale oppure, e in maniera obbligata per la coorte di studenti immatricolati ai corsi di laurea in Odontoiatria e Protesi Dentaria nell’anno accademico 2022/2023, da coloro che abbiano sostenuto con successo la prova pratica valutativa (PPV) prima dell’esame finale di laurea. Coerentemente con i percorsi formativi dei Paesi dell'Unione Europea, l'istituzione del CLOPD ha risposto ad esigenze di carattere culturale e professionale, prevedendo la formazione di laureat</w:t>
      </w:r>
      <w:r w:rsidR="00E02D04" w:rsidRPr="00226489">
        <w:t>e</w:t>
      </w:r>
      <w:r w:rsidRPr="00226489">
        <w:t xml:space="preserve"> e laureat</w:t>
      </w:r>
      <w:r w:rsidR="00E02D04" w:rsidRPr="00226489">
        <w:t>i</w:t>
      </w:r>
      <w:r w:rsidRPr="00226489">
        <w:t xml:space="preserve"> in possesso di un’adeguata conoscenza nelle discipline di base e in ambito medico e chirurgico, nonché di conoscenze e competenze scientifiche e teorico-pratiche più specialistiche. L'organizzazione del Corso prevede una didattica integrata, atta a promuovere nello studente, considerato perno del processo formativo, la capacità di acquisire conoscenze e di mantenerle vive a lungo termine. Il percorso formativo prevede almeno 5000 ore di insegnamento teorico e pratico e garantisce allo studente un training continuativo in Servizi Clinici ad elevata valenza assistenziale, con la possibilità di maturare e perfezionare competenze professionali complete e multidisciplinari. Il Corso di Studi detta le propedeuticità culturali, guida lo studente nel percorso formativo, stimolandolo a sostenere gli esami e a rimanere in corso. Per gli esami che prevedono attività di tirocinio le competenze sono sottoposte a valutazione con prove cliniche o su simulatore, i cui esiti concorrono all'attribuzione del voto finale. Al sesto anno, dedicato quasi esclusivamente ad attività cliniche e di </w:t>
      </w:r>
      <w:proofErr w:type="spellStart"/>
      <w:r w:rsidRPr="00226489">
        <w:t>problem</w:t>
      </w:r>
      <w:proofErr w:type="spellEnd"/>
      <w:r w:rsidRPr="00226489">
        <w:t xml:space="preserve"> solving, i docenti valutano l'efficacia del training formativo verificando il reale conseguimento delle competenze e delle abilità cliniche e di comunicazione. Tale tutoraggio continuativo concorre a consolidare conoscenze e competenze, per ottimizzare la qualità di formazione e la futura occupazione. Le attività didattiche si svolgono presso il Campus “Salvatore Venuta”, che offre aule moderne, laboratori ed un'Aula simulazioni. La didattica professionalizzante si svolge presso l’U.O.C. di Odontoiatria dell’A.O.U. Renato Dulbecco – Presidio Mater Domini, presso gli ambulatori odontoiatrici del Presidio Pugliese-Ciaccio, presso l’U.O.C. di Odontostomatologia dell’A.O. Cosenza e presso la Clinica privata-convenzionata CalabroDental del gruppo Marrelli Health. Il CdS offre molte opportunità di esperienze internazionali (Erasmus +, internship) e un percorso didattico di introduzione al modo del lavoro per acquisire competenze gestionali corrette dell’attività professionale alla luce della normativa e delle condizioni </w:t>
      </w:r>
      <w:proofErr w:type="gramStart"/>
      <w:r w:rsidRPr="00226489">
        <w:t>socio-economiche</w:t>
      </w:r>
      <w:proofErr w:type="gramEnd"/>
      <w:r w:rsidRPr="00226489">
        <w:t xml:space="preserve"> e di mercato, attraverso l’interazione con tutte le </w:t>
      </w:r>
      <w:r w:rsidRPr="00226489">
        <w:lastRenderedPageBreak/>
        <w:t xml:space="preserve">figure coinvolte nei processi di ideazione, realizzazione, gestione di impresa e controllo della struttura professionale odontoiatrica. I laureati e le laureate </w:t>
      </w:r>
      <w:r w:rsidR="00E02D04" w:rsidRPr="00226489">
        <w:t>del CL</w:t>
      </w:r>
      <w:r w:rsidRPr="00226489">
        <w:t xml:space="preserve">OPD hanno opportunità di sbocchi successivi sia in ulteriori percorsi formativi (scuole di specializzazione, dottorato di ricerca, </w:t>
      </w:r>
      <w:r w:rsidR="00E02D04" w:rsidRPr="00226489">
        <w:t>M</w:t>
      </w:r>
      <w:r w:rsidRPr="00226489">
        <w:t>aster</w:t>
      </w:r>
      <w:r w:rsidR="00E02D04" w:rsidRPr="00226489">
        <w:t xml:space="preserve"> Universitari</w:t>
      </w:r>
      <w:r w:rsidRPr="00226489">
        <w:t>, Corsi di Alta Formazione), sia nell'esercizio professionale pubblico e privato.</w:t>
      </w:r>
    </w:p>
    <w:p w14:paraId="738FEBEE" w14:textId="42742DF6" w:rsidR="002B5CA9" w:rsidRPr="00226489" w:rsidRDefault="002B5CA9" w:rsidP="00AF3662">
      <w:pPr>
        <w:jc w:val="both"/>
        <w:rPr>
          <w:b/>
          <w:bCs/>
        </w:rPr>
      </w:pPr>
    </w:p>
    <w:p w14:paraId="433C06A6" w14:textId="7D52FBB9" w:rsidR="002B5CA9" w:rsidRPr="00226489" w:rsidRDefault="002B5CA9" w:rsidP="00AF3662">
      <w:pPr>
        <w:jc w:val="both"/>
        <w:rPr>
          <w:b/>
          <w:bCs/>
        </w:rPr>
      </w:pPr>
      <w:r w:rsidRPr="00226489">
        <w:rPr>
          <w:b/>
          <w:bCs/>
        </w:rPr>
        <w:t>DOMANDA DI FORMAZIONE</w:t>
      </w:r>
    </w:p>
    <w:p w14:paraId="340A3636" w14:textId="6A905D4E" w:rsidR="00E02D04" w:rsidRPr="00226489" w:rsidRDefault="002B4951" w:rsidP="00AF3662">
      <w:pPr>
        <w:jc w:val="both"/>
        <w:rPr>
          <w:b/>
          <w:bCs/>
          <w:u w:val="single"/>
        </w:rPr>
      </w:pPr>
      <w:r w:rsidRPr="00226489">
        <w:rPr>
          <w:b/>
          <w:bCs/>
          <w:highlight w:val="yellow"/>
          <w:u w:val="single"/>
        </w:rPr>
        <w:t>QUADRO A1.b – Consultazione con le organizzazioni rappresentative - a livello nazionale e internazionale - della produzione di beni e servizi, delle professioni (Consultazioni successive)</w:t>
      </w:r>
      <w:r w:rsidR="00226489" w:rsidRPr="00226489">
        <w:rPr>
          <w:b/>
          <w:bCs/>
          <w:highlight w:val="yellow"/>
          <w:u w:val="single"/>
        </w:rPr>
        <w:t xml:space="preserve"> AGGIORNATO</w:t>
      </w:r>
    </w:p>
    <w:p w14:paraId="4E3251DC" w14:textId="77777777"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u w:val="single"/>
        </w:rPr>
      </w:pPr>
      <w:r w:rsidRPr="00226489">
        <w:rPr>
          <w:u w:val="single"/>
        </w:rPr>
        <w:t>Organo che effettua consultazione</w:t>
      </w:r>
    </w:p>
    <w:p w14:paraId="7B7B4F64" w14:textId="77777777"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rPr>
      </w:pPr>
      <w:r w:rsidRPr="00226489">
        <w:t>La consultazione è effettuata dal Presidente del Consiglio di CdS in Odontoiatria e Protesi Dentaria.</w:t>
      </w:r>
    </w:p>
    <w:p w14:paraId="4C0359B7" w14:textId="77777777"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u w:val="single"/>
        </w:rPr>
      </w:pPr>
      <w:r w:rsidRPr="00226489">
        <w:rPr>
          <w:u w:val="single"/>
        </w:rPr>
        <w:t>Modalità e tempi:</w:t>
      </w:r>
    </w:p>
    <w:p w14:paraId="3795A283" w14:textId="6165E371"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pPr>
      <w:r w:rsidRPr="00226489">
        <w:t>La modalità è espressa da riunioni frontali con le parti interessate</w:t>
      </w:r>
      <w:r w:rsidR="00295CFE" w:rsidRPr="00226489">
        <w:t>, tenute presso l’Università Magna Graecia di Catanzaro o in altre sedi indicate dalle associazioni consultate (</w:t>
      </w:r>
      <w:proofErr w:type="spellStart"/>
      <w:r w:rsidR="00295CFE" w:rsidRPr="00226489">
        <w:t>OMCeO</w:t>
      </w:r>
      <w:proofErr w:type="spellEnd"/>
      <w:r w:rsidR="00295CFE" w:rsidRPr="00226489">
        <w:t xml:space="preserve">, ANDI, AIO, </w:t>
      </w:r>
      <w:proofErr w:type="spellStart"/>
      <w:r w:rsidR="00295CFE" w:rsidRPr="00226489">
        <w:t>ecc</w:t>
      </w:r>
      <w:proofErr w:type="spellEnd"/>
      <w:r w:rsidR="00295CFE" w:rsidRPr="00226489">
        <w:t xml:space="preserve">) o, in alternativa, tramite la </w:t>
      </w:r>
      <w:r w:rsidRPr="00226489">
        <w:t xml:space="preserve">piattaforma Google Meet. Le riunioni </w:t>
      </w:r>
      <w:r w:rsidR="006C0E73" w:rsidRPr="00226489">
        <w:t>si tengono in momenti diversi in base alla disponibilità dei vari stakeholder coinvolti e le convocazioni avvengono ufficialmente via</w:t>
      </w:r>
      <w:r w:rsidRPr="00226489">
        <w:t xml:space="preserve"> e-mail.</w:t>
      </w:r>
    </w:p>
    <w:p w14:paraId="44A1B3CD" w14:textId="77777777"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u w:val="single"/>
        </w:rPr>
      </w:pPr>
      <w:r w:rsidRPr="00226489">
        <w:rPr>
          <w:u w:val="single"/>
        </w:rPr>
        <w:t>Organizzazioni consultate o direttamente o tramite studi di settore</w:t>
      </w:r>
    </w:p>
    <w:p w14:paraId="0A7B9EB6" w14:textId="028D28D1" w:rsidR="002B4951" w:rsidRPr="00226489" w:rsidRDefault="00295CFE"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rPr>
      </w:pPr>
      <w:bookmarkStart w:id="0" w:name="_Hlk131598447"/>
      <w:r w:rsidRPr="00226489">
        <w:t>In data 14/11/2025 si è svolta, presso l’Università degli Studi “Magna Graecia” di Catanzaro, una consultazione con i rappresentanti dell’ANDI (Associazione Nazionale Dentisti Italiani),</w:t>
      </w:r>
      <w:r w:rsidR="002B4951" w:rsidRPr="00226489">
        <w:t xml:space="preserve"> </w:t>
      </w:r>
      <w:r w:rsidRPr="00226489">
        <w:t>del</w:t>
      </w:r>
      <w:r w:rsidR="002B4951" w:rsidRPr="00226489">
        <w:t>la CAO (</w:t>
      </w:r>
      <w:r w:rsidRPr="00226489">
        <w:t>C</w:t>
      </w:r>
      <w:r w:rsidR="002B4951" w:rsidRPr="00226489">
        <w:t xml:space="preserve">ommissione </w:t>
      </w:r>
      <w:r w:rsidRPr="00226489">
        <w:t>A</w:t>
      </w:r>
      <w:r w:rsidR="002B4951" w:rsidRPr="00226489">
        <w:t xml:space="preserve">lbo </w:t>
      </w:r>
      <w:r w:rsidRPr="00226489">
        <w:t>O</w:t>
      </w:r>
      <w:r w:rsidR="002B4951" w:rsidRPr="00226489">
        <w:t>dontoiatri)</w:t>
      </w:r>
      <w:r w:rsidRPr="00226489">
        <w:t xml:space="preserve"> e dell’A.O.U. Renato Dulbecco ed hanno partecipato</w:t>
      </w:r>
      <w:r w:rsidR="002B4951" w:rsidRPr="00226489">
        <w:t>:</w:t>
      </w:r>
    </w:p>
    <w:p w14:paraId="43845A6C" w14:textId="16625DE3"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rPr>
      </w:pPr>
      <w:r w:rsidRPr="00226489">
        <w:rPr>
          <w:rFonts w:eastAsia="Tahoma" w:cs="Tahoma"/>
        </w:rPr>
        <w:t xml:space="preserve">Prof. Amerigo Giudice – Presidente </w:t>
      </w:r>
      <w:r w:rsidR="00295CFE" w:rsidRPr="00226489">
        <w:rPr>
          <w:rFonts w:eastAsia="Tahoma" w:cs="Tahoma"/>
        </w:rPr>
        <w:t xml:space="preserve">del </w:t>
      </w:r>
      <w:r w:rsidRPr="00226489">
        <w:rPr>
          <w:rFonts w:eastAsia="Tahoma" w:cs="Tahoma"/>
        </w:rPr>
        <w:t>C</w:t>
      </w:r>
      <w:r w:rsidR="00295CFE" w:rsidRPr="00226489">
        <w:rPr>
          <w:rFonts w:eastAsia="Tahoma" w:cs="Tahoma"/>
        </w:rPr>
        <w:t>d</w:t>
      </w:r>
      <w:r w:rsidRPr="00226489">
        <w:rPr>
          <w:rFonts w:eastAsia="Tahoma" w:cs="Tahoma"/>
        </w:rPr>
        <w:t>S in Odontoiatria e Protesi Dentaria dell’UMG di Catanzaro</w:t>
      </w:r>
      <w:r w:rsidR="00295CFE" w:rsidRPr="00226489">
        <w:rPr>
          <w:rFonts w:eastAsia="Tahoma" w:cs="Tahoma"/>
        </w:rPr>
        <w:t>;</w:t>
      </w:r>
    </w:p>
    <w:p w14:paraId="478DC4D0" w14:textId="3F03F888"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rPr>
      </w:pPr>
      <w:r w:rsidRPr="00226489">
        <w:rPr>
          <w:rFonts w:eastAsia="Tahoma" w:cs="Tahoma"/>
        </w:rPr>
        <w:t>Dott. Salvatore De Filippo – Presidente CAO Catanzaro e ANDI Calabria</w:t>
      </w:r>
      <w:r w:rsidR="00295CFE" w:rsidRPr="00226489">
        <w:rPr>
          <w:rFonts w:eastAsia="Tahoma" w:cs="Tahoma"/>
        </w:rPr>
        <w:t>, Dirigente Medico Odontoiatra A.O.U. Renato Dulbecco;</w:t>
      </w:r>
    </w:p>
    <w:p w14:paraId="24C448C4" w14:textId="748575C5"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rPr>
      </w:pPr>
      <w:r w:rsidRPr="00226489">
        <w:rPr>
          <w:rFonts w:eastAsia="Tahoma" w:cs="Tahoma"/>
        </w:rPr>
        <w:t>Dott.</w:t>
      </w:r>
      <w:r w:rsidR="00295CFE" w:rsidRPr="00226489">
        <w:rPr>
          <w:rFonts w:eastAsia="Tahoma" w:cs="Tahoma"/>
        </w:rPr>
        <w:t xml:space="preserve"> Giuseppe Guarnieri</w:t>
      </w:r>
      <w:r w:rsidRPr="00226489">
        <w:rPr>
          <w:rFonts w:eastAsia="Tahoma" w:cs="Tahoma"/>
        </w:rPr>
        <w:t xml:space="preserve"> – Presidente </w:t>
      </w:r>
      <w:r w:rsidR="00295CFE" w:rsidRPr="00226489">
        <w:rPr>
          <w:rFonts w:eastAsia="Tahoma" w:cs="Tahoma"/>
        </w:rPr>
        <w:t>CAO Cosenza e referente dei Presidenti CAO Calabria;</w:t>
      </w:r>
    </w:p>
    <w:p w14:paraId="494CF9B2" w14:textId="3411C58C" w:rsidR="00295CFE" w:rsidRPr="00226489" w:rsidRDefault="00295CFE"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rPr>
      </w:pPr>
      <w:r w:rsidRPr="00226489">
        <w:rPr>
          <w:rFonts w:eastAsia="Tahoma" w:cs="Tahoma"/>
        </w:rPr>
        <w:t>Dott. Francesco Bennardo – Docente a contratto del CdS in Odontoiatria e Protesi Dentaria dell’UMG di Catanzaro.</w:t>
      </w:r>
    </w:p>
    <w:p w14:paraId="7C602048" w14:textId="5BFDAEFD" w:rsidR="00295CFE" w:rsidRPr="00226489" w:rsidRDefault="00295CFE" w:rsidP="00295CF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rPr>
      </w:pPr>
      <w:r w:rsidRPr="00226489">
        <w:t>In data 15/11/2025 si è svolta una consultazione presso la sede locale dell’AIO (Associazione Italiana Odontoiatri) di Reggio Calabria ed hanno partecipato:</w:t>
      </w:r>
    </w:p>
    <w:p w14:paraId="0EC3620B" w14:textId="77777777" w:rsidR="00295CFE" w:rsidRPr="00226489" w:rsidRDefault="00295CFE" w:rsidP="00295CF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rPr>
      </w:pPr>
      <w:r w:rsidRPr="00226489">
        <w:rPr>
          <w:rFonts w:eastAsia="Tahoma" w:cs="Tahoma"/>
        </w:rPr>
        <w:t>Prof. Amerigo Giudice – Presidente del CdS in Odontoiatria e Protesi Dentaria dell’UMG di Catanzaro;</w:t>
      </w:r>
    </w:p>
    <w:p w14:paraId="08E51140" w14:textId="52E9520D" w:rsidR="00295CFE" w:rsidRPr="00226489" w:rsidRDefault="00295CFE" w:rsidP="00295CF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w:cs="Tahoma"/>
        </w:rPr>
      </w:pPr>
      <w:r w:rsidRPr="00226489">
        <w:rPr>
          <w:rFonts w:eastAsia="Tahoma" w:cs="Tahoma"/>
        </w:rPr>
        <w:t>Dott. Giuseppe Russo – Presidente AIO Reggio Calabria;</w:t>
      </w:r>
    </w:p>
    <w:p w14:paraId="2260F33D" w14:textId="56D3690A" w:rsidR="00295CFE" w:rsidRPr="00226489" w:rsidRDefault="00295CFE" w:rsidP="00295CF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pPr>
      <w:r w:rsidRPr="00226489">
        <w:rPr>
          <w:rFonts w:eastAsia="Tahoma" w:cs="Tahoma"/>
        </w:rPr>
        <w:t>Dott. Francesco Bennardo – Docente a contratto del CdS in Odontoiatria e Protesi Dentaria dell’UMG di Catanzaro.</w:t>
      </w:r>
    </w:p>
    <w:p w14:paraId="2612512F" w14:textId="7EB05824"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pPr>
      <w:r w:rsidRPr="00226489">
        <w:t xml:space="preserve">Le consultazioni hanno avuto l’obiettivo analizzare ed ascoltare i bisogni dei rappresentanti di categoria e di discutere </w:t>
      </w:r>
      <w:r w:rsidR="003B2250" w:rsidRPr="00226489">
        <w:t xml:space="preserve">proposte e </w:t>
      </w:r>
      <w:r w:rsidRPr="00226489">
        <w:t>documenti inerenti il CdS, incluso il regolamento didattico e la proposta del numero di posti massimi per l’iscrizione al primo anno per l’A.A. 202</w:t>
      </w:r>
      <w:r w:rsidR="00295CFE" w:rsidRPr="00226489">
        <w:t>6</w:t>
      </w:r>
      <w:r w:rsidRPr="00226489">
        <w:t>/202</w:t>
      </w:r>
      <w:r w:rsidR="00295CFE" w:rsidRPr="00226489">
        <w:t>7</w:t>
      </w:r>
      <w:r w:rsidRPr="00226489">
        <w:t xml:space="preserve">. Si segnala, inoltre, che è </w:t>
      </w:r>
      <w:r w:rsidRPr="00226489">
        <w:lastRenderedPageBreak/>
        <w:t xml:space="preserve">stato oggetto di discussione anche </w:t>
      </w:r>
      <w:r w:rsidR="00295CFE" w:rsidRPr="00226489">
        <w:t xml:space="preserve">la normativa inerente l’accesso al </w:t>
      </w:r>
      <w:r w:rsidRPr="00226489">
        <w:t xml:space="preserve">Corso di Studio </w:t>
      </w:r>
      <w:r w:rsidR="00295CFE" w:rsidRPr="00226489">
        <w:t xml:space="preserve">(cosiddetto Semestre filtro) e la </w:t>
      </w:r>
      <w:r w:rsidR="003B2250" w:rsidRPr="00226489">
        <w:t xml:space="preserve">possibile modifica della </w:t>
      </w:r>
      <w:r w:rsidR="00295CFE" w:rsidRPr="00226489">
        <w:t>normativa inerente l</w:t>
      </w:r>
      <w:r w:rsidR="003B2250" w:rsidRPr="00226489">
        <w:t xml:space="preserve">e </w:t>
      </w:r>
      <w:r w:rsidR="00295CFE" w:rsidRPr="00226489">
        <w:t>Scuole di Specializzazione di Area Odontoiatrica</w:t>
      </w:r>
      <w:r w:rsidRPr="00226489">
        <w:t>.</w:t>
      </w:r>
      <w:r w:rsidR="003B2250" w:rsidRPr="00226489">
        <w:t xml:space="preserve"> </w:t>
      </w:r>
    </w:p>
    <w:bookmarkEnd w:id="0"/>
    <w:p w14:paraId="73458283" w14:textId="77777777" w:rsidR="002B4951" w:rsidRPr="00226489" w:rsidRDefault="002B4951"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Bold" w:cs="Tahoma Bold"/>
          <w:u w:val="single"/>
        </w:rPr>
      </w:pPr>
      <w:r w:rsidRPr="00226489">
        <w:rPr>
          <w:rFonts w:eastAsia="Tahoma Bold" w:cs="Tahoma Bold"/>
          <w:u w:val="single"/>
        </w:rPr>
        <w:t>Indicazioni nazionali</w:t>
      </w:r>
    </w:p>
    <w:p w14:paraId="0326FB56" w14:textId="46602F7E" w:rsidR="00083A69" w:rsidRPr="00226489" w:rsidRDefault="00083A69" w:rsidP="00083A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Bold" w:cs="Tahoma Bold"/>
        </w:rPr>
      </w:pPr>
      <w:r w:rsidRPr="00226489">
        <w:rPr>
          <w:rFonts w:eastAsia="Tahoma Bold" w:cs="Tahoma Bold"/>
        </w:rPr>
        <w:t>In data venerdì 13 dicembre 2024</w:t>
      </w:r>
      <w:r w:rsidR="00F51E5E" w:rsidRPr="00226489">
        <w:rPr>
          <w:rFonts w:eastAsia="Tahoma Bold" w:cs="Tahoma Bold"/>
        </w:rPr>
        <w:t xml:space="preserve"> </w:t>
      </w:r>
      <w:r w:rsidRPr="00226489">
        <w:rPr>
          <w:rFonts w:eastAsia="Tahoma Bold" w:cs="Tahoma Bold"/>
        </w:rPr>
        <w:t xml:space="preserve">presso </w:t>
      </w:r>
      <w:r w:rsidR="00F51E5E" w:rsidRPr="00226489">
        <w:rPr>
          <w:rFonts w:eastAsia="Tahoma Bold" w:cs="Tahoma Bold"/>
        </w:rPr>
        <w:t xml:space="preserve">il </w:t>
      </w:r>
      <w:r w:rsidRPr="00226489">
        <w:rPr>
          <w:rFonts w:eastAsia="Tahoma Bold" w:cs="Tahoma Bold"/>
        </w:rPr>
        <w:t>Dipartimento di Scienze Odontostomatologiche e Maxillo-Facciali de</w:t>
      </w:r>
      <w:r w:rsidR="00F51E5E" w:rsidRPr="00226489">
        <w:rPr>
          <w:rFonts w:eastAsia="Tahoma Bold" w:cs="Tahoma Bold"/>
        </w:rPr>
        <w:t>ll’Università di Roma</w:t>
      </w:r>
      <w:r w:rsidRPr="00226489">
        <w:rPr>
          <w:rFonts w:eastAsia="Tahoma Bold" w:cs="Tahoma Bold"/>
        </w:rPr>
        <w:t xml:space="preserve"> “La Sapienza” si sono riuniti il Collegio dei Referenti e l’Assemblea del CDUO per discutere alcuni temi di particolare rilievo per la formazione odontoiatrica a livello nazionale.</w:t>
      </w:r>
    </w:p>
    <w:p w14:paraId="3988BEFC" w14:textId="29F17755" w:rsidR="00083A69" w:rsidRPr="00226489" w:rsidRDefault="00083A69" w:rsidP="00083A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Bold" w:cs="Tahoma Bold"/>
        </w:rPr>
      </w:pPr>
      <w:r w:rsidRPr="00226489">
        <w:rPr>
          <w:rFonts w:eastAsia="Tahoma Bold" w:cs="Tahoma Bold"/>
        </w:rPr>
        <w:t>È in corso, presso tutti gli Atenei, un articolato processo di revisione e armonizzazione degli ordinamenti didattici dei corsi di laurea in odontoiatria.</w:t>
      </w:r>
      <w:r w:rsidR="00F51E5E" w:rsidRPr="00226489">
        <w:rPr>
          <w:rFonts w:eastAsia="Tahoma Bold" w:cs="Tahoma Bold"/>
        </w:rPr>
        <w:t xml:space="preserve"> </w:t>
      </w:r>
      <w:r w:rsidRPr="00226489">
        <w:rPr>
          <w:rFonts w:eastAsia="Tahoma Bold" w:cs="Tahoma Bold"/>
        </w:rPr>
        <w:t>Si sta procedendo, in un’ottica di ampia condivisione, alla definizione di testi omogenei, al fine di giungere, in una fase successiva, alla predisposizione dei regolamenti didattici e dei piani di studio.</w:t>
      </w:r>
      <w:r w:rsidR="00F51E5E" w:rsidRPr="00226489">
        <w:rPr>
          <w:rFonts w:eastAsia="Tahoma Bold" w:cs="Tahoma Bold"/>
        </w:rPr>
        <w:t xml:space="preserve"> </w:t>
      </w:r>
      <w:r w:rsidRPr="00226489">
        <w:rPr>
          <w:rFonts w:eastAsia="Tahoma Bold" w:cs="Tahoma Bold"/>
        </w:rPr>
        <w:t>È stato sottolineato come una maggiore omogeneità tra i piani di studio</w:t>
      </w:r>
      <w:r w:rsidR="00F51E5E" w:rsidRPr="00226489">
        <w:rPr>
          <w:rFonts w:eastAsia="Tahoma Bold" w:cs="Tahoma Bold"/>
        </w:rPr>
        <w:t xml:space="preserve"> possa </w:t>
      </w:r>
      <w:r w:rsidRPr="00226489">
        <w:rPr>
          <w:rFonts w:eastAsia="Tahoma Bold" w:cs="Tahoma Bold"/>
        </w:rPr>
        <w:t>facilit</w:t>
      </w:r>
      <w:r w:rsidR="00F51E5E" w:rsidRPr="00226489">
        <w:rPr>
          <w:rFonts w:eastAsia="Tahoma Bold" w:cs="Tahoma Bold"/>
        </w:rPr>
        <w:t>are</w:t>
      </w:r>
      <w:r w:rsidRPr="00226489">
        <w:rPr>
          <w:rFonts w:eastAsia="Tahoma Bold" w:cs="Tahoma Bold"/>
        </w:rPr>
        <w:t xml:space="preserve"> i trasferimenti di studenti tra sedi</w:t>
      </w:r>
      <w:r w:rsidR="00F51E5E" w:rsidRPr="00226489">
        <w:rPr>
          <w:rFonts w:eastAsia="Tahoma Bold" w:cs="Tahoma Bold"/>
        </w:rPr>
        <w:t xml:space="preserve">, </w:t>
      </w:r>
      <w:r w:rsidRPr="00226489">
        <w:rPr>
          <w:rFonts w:eastAsia="Tahoma Bold" w:cs="Tahoma Bold"/>
        </w:rPr>
        <w:t>rend</w:t>
      </w:r>
      <w:r w:rsidR="00F51E5E" w:rsidRPr="00226489">
        <w:rPr>
          <w:rFonts w:eastAsia="Tahoma Bold" w:cs="Tahoma Bold"/>
        </w:rPr>
        <w:t>ere</w:t>
      </w:r>
      <w:r w:rsidRPr="00226489">
        <w:rPr>
          <w:rFonts w:eastAsia="Tahoma Bold" w:cs="Tahoma Bold"/>
        </w:rPr>
        <w:t xml:space="preserve"> più agevole il riconoscimento dei crediti formativi</w:t>
      </w:r>
      <w:r w:rsidR="00F51E5E" w:rsidRPr="00226489">
        <w:rPr>
          <w:rFonts w:eastAsia="Tahoma Bold" w:cs="Tahoma Bold"/>
        </w:rPr>
        <w:t xml:space="preserve"> e contribuire</w:t>
      </w:r>
      <w:r w:rsidRPr="00226489">
        <w:rPr>
          <w:rFonts w:eastAsia="Tahoma Bold" w:cs="Tahoma Bold"/>
        </w:rPr>
        <w:t xml:space="preserve"> alla costruzione di un sistema formativo più funzionale, coerente e favorevole per gli studenti.</w:t>
      </w:r>
    </w:p>
    <w:p w14:paraId="1CBBB95E" w14:textId="6F8CD455" w:rsidR="00083A69" w:rsidRPr="00226489" w:rsidRDefault="00083A69" w:rsidP="00083A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Bold" w:cs="Tahoma Bold"/>
        </w:rPr>
      </w:pPr>
      <w:r w:rsidRPr="00226489">
        <w:rPr>
          <w:rFonts w:eastAsia="Tahoma Bold" w:cs="Tahoma Bold"/>
        </w:rPr>
        <w:t>È stato approfondito lo stato dell’iter relativo all’attivazione della cosiddetta “quarta scuola” di specializzazione in odontoiatria generale, attualmente ancora in fase di definizione, ma con una probabilità di attivazione ritenuta più elevata rispetto agli anni precedenti. La quarta scuola è stata progettata con struttura flessibile, suscettibile di essere declinata nelle diverse sedi in base alle specifiche competenze disciplinari e all’assetto assistenziale locale, prevedendo, in via non esclusiva, i seguenti possibili indirizzi: parodontale; restaurativo;</w:t>
      </w:r>
      <w:r w:rsidR="00F51E5E" w:rsidRPr="00226489">
        <w:rPr>
          <w:rFonts w:eastAsia="Tahoma Bold" w:cs="Tahoma Bold"/>
        </w:rPr>
        <w:t xml:space="preserve"> </w:t>
      </w:r>
      <w:r w:rsidRPr="00226489">
        <w:rPr>
          <w:rFonts w:eastAsia="Tahoma Bold" w:cs="Tahoma Bold"/>
        </w:rPr>
        <w:t>medicina orale;</w:t>
      </w:r>
      <w:r w:rsidR="00F51E5E" w:rsidRPr="00226489">
        <w:rPr>
          <w:rFonts w:eastAsia="Tahoma Bold" w:cs="Tahoma Bold"/>
        </w:rPr>
        <w:t xml:space="preserve"> </w:t>
      </w:r>
      <w:r w:rsidRPr="00226489">
        <w:rPr>
          <w:rFonts w:eastAsia="Tahoma Bold" w:cs="Tahoma Bold"/>
        </w:rPr>
        <w:t>forense.</w:t>
      </w:r>
      <w:r w:rsidR="00F51E5E" w:rsidRPr="00226489">
        <w:rPr>
          <w:rFonts w:eastAsia="Tahoma Bold" w:cs="Tahoma Bold"/>
        </w:rPr>
        <w:t xml:space="preserve"> </w:t>
      </w:r>
      <w:r w:rsidRPr="00226489">
        <w:rPr>
          <w:rFonts w:eastAsia="Tahoma Bold" w:cs="Tahoma Bold"/>
        </w:rPr>
        <w:t>Le sedi potenzialmente interessate sono invitate a valutare l’ambito disciplinare in cui declinare l’eventuale attivazione della quarta scuola, tenendo conto delle condizioni richieste ai fini dell’accreditamento (come previsto dal decreto ministeriale, non ancora attivo), dei volumi di attività clinica erogata e della disponibilità di docenti strutturati. È stato evidenziato che, qualora si assumesse per analogia la necessità di due docenti per ciascuna scuola, un Ateneo intenzionato ad attivare quattro scuole di specializzazione dovrebbe disporre di almeno otto professori ordinari o associati di ruolo dedicati. In questo quadro, si ritiene opportuno incentivare forme di consorzio e collaborazione interuniversitaria, soprattutto per le università di dimensioni minori, al fine di garantire adeguati standard formativi. Un tema centrale riguarda le borse di studio e i contratti per gli specializzandi di area odontoiatrica. Attualmente sono presenti, a livello nazionale esperienze differenziate di riconoscimento economico, talora su base regionale o aziendale o iniziative autonome di singoli Atenei. È stata segnalata una proposta di emendamento alla legge finanziaria, che prevedrebbe per gli specializzandi non medici una borsa pari a 500 € lordi mensili.</w:t>
      </w:r>
    </w:p>
    <w:p w14:paraId="75FE5B68" w14:textId="454DFDF5" w:rsidR="00083A69" w:rsidRPr="00226489" w:rsidRDefault="00083A69" w:rsidP="00083A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Bold" w:cs="Tahoma Bold"/>
        </w:rPr>
      </w:pPr>
      <w:r w:rsidRPr="00226489">
        <w:rPr>
          <w:rFonts w:eastAsia="Tahoma Bold" w:cs="Tahoma Bold"/>
        </w:rPr>
        <w:t xml:space="preserve">È stato affrontato il tema della medicina estetica in ambito odontoiatrico, alla luce delle modifiche normative introdotte dal cosiddetto “decreto bollette”, che ha esteso l’area di competenza degli odontoiatri alle terapie estetiche non invasive o minimamente invasive riguardanti il terzo medio e superiore del volto. Questa estensione, inizialmente considerata un risultato significativo dalle rappresentanze professionali e sindacali, ha determinato, di fatto, una forte espansione del mercato della formazione, con un proliferare di corsi e attività di docenza spesso privi di un adeguato controllo e di una chiara cornice regolatoria. In tale contesto, è in corso una richiesta esplicita alle Università di farsi carico della formazione dei professionisti, articolando proposte a livello </w:t>
      </w:r>
      <w:proofErr w:type="spellStart"/>
      <w:r w:rsidRPr="00226489">
        <w:rPr>
          <w:rFonts w:eastAsia="Tahoma Bold" w:cs="Tahoma Bold"/>
        </w:rPr>
        <w:t>pre</w:t>
      </w:r>
      <w:proofErr w:type="spellEnd"/>
      <w:r w:rsidRPr="00226489">
        <w:rPr>
          <w:rFonts w:eastAsia="Tahoma Bold" w:cs="Tahoma Bold"/>
        </w:rPr>
        <w:t xml:space="preserve">-laurea, con l’obiettivo di far comprendere ai futuri odontoiatri i limiti, i rischi e le responsabilità connesse a tali prestazioni, ed a livello post-laurea, mediante percorsi che insegnino tecniche, indicazioni, potenzialità e limiti, restituendo a questo ambito un inquadramento serio, scientifico e professionalmente fondato. Pur ritenendo </w:t>
      </w:r>
      <w:r w:rsidR="00F51E5E" w:rsidRPr="00226489">
        <w:rPr>
          <w:rFonts w:eastAsia="Tahoma Bold" w:cs="Tahoma Bold"/>
        </w:rPr>
        <w:t>necessario tale intervento formativo, è stata espressa preoccupazione per</w:t>
      </w:r>
      <w:r w:rsidRPr="00226489">
        <w:rPr>
          <w:rFonts w:eastAsia="Tahoma Bold" w:cs="Tahoma Bold"/>
        </w:rPr>
        <w:t xml:space="preserve"> la reale </w:t>
      </w:r>
      <w:r w:rsidRPr="00226489">
        <w:rPr>
          <w:rFonts w:eastAsia="Tahoma Bold" w:cs="Tahoma Bold"/>
        </w:rPr>
        <w:lastRenderedPageBreak/>
        <w:t>applicabilità di soluzioni organiche in tempi brevi, alla luce delle risorse e dei vincoli organizzativi degli Atenei.</w:t>
      </w:r>
    </w:p>
    <w:p w14:paraId="4E119AE3" w14:textId="4F747D53" w:rsidR="00083A69" w:rsidRPr="00226489" w:rsidRDefault="00083A69" w:rsidP="00083A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Bold" w:cs="Tahoma Bold"/>
        </w:rPr>
      </w:pPr>
      <w:r w:rsidRPr="00226489">
        <w:rPr>
          <w:rFonts w:eastAsia="Tahoma Bold" w:cs="Tahoma Bold"/>
        </w:rPr>
        <w:t>In merito alla trasformazione in Laurea Abilitante, il Ministero ricorda che le attività di TPV (tirocinio pratico-valutativo) devono essere certificate dai tutor accademici e validate dal Presidente del Corso di Studi e che</w:t>
      </w:r>
      <w:r w:rsidR="00F51E5E" w:rsidRPr="00226489">
        <w:rPr>
          <w:rFonts w:eastAsia="Tahoma Bold" w:cs="Tahoma Bold"/>
        </w:rPr>
        <w:t>, con il conferimento della Laurea Abilitante,</w:t>
      </w:r>
      <w:r w:rsidRPr="00226489">
        <w:rPr>
          <w:rFonts w:eastAsia="Tahoma Bold" w:cs="Tahoma Bold"/>
        </w:rPr>
        <w:t xml:space="preserve"> si attesta che lo studente ha svolto, come primo operatore, tutte le prestazioni previste dal decreto ministeriale.</w:t>
      </w:r>
      <w:r w:rsidR="00F51E5E" w:rsidRPr="00226489">
        <w:rPr>
          <w:rFonts w:eastAsia="Tahoma Bold" w:cs="Tahoma Bold"/>
        </w:rPr>
        <w:t xml:space="preserve"> </w:t>
      </w:r>
      <w:r w:rsidRPr="00226489">
        <w:rPr>
          <w:rFonts w:eastAsia="Tahoma Bold" w:cs="Tahoma Bold"/>
        </w:rPr>
        <w:t>Ciò implica una stretta corrispondenza tra numero di studenti iscritti, attività assistenziale effettivamente erogata nelle strutture in cui si svolge il tirocinio, e risorse di docenza e tutoraggio disponibili.</w:t>
      </w:r>
      <w:r w:rsidR="00F51E5E" w:rsidRPr="00226489">
        <w:rPr>
          <w:rFonts w:eastAsia="Tahoma Bold" w:cs="Tahoma Bold"/>
        </w:rPr>
        <w:t xml:space="preserve"> </w:t>
      </w:r>
      <w:r w:rsidRPr="00226489">
        <w:rPr>
          <w:rFonts w:eastAsia="Tahoma Bold" w:cs="Tahoma Bold"/>
        </w:rPr>
        <w:t>È stato chiarito che ogni incremento del numero di immatricolati, talvolta previsto per esigenze legate al costo standard studente e alla sostenibilità economica dell’Ateneo, deve essere valutato alla luce di tali vincoli. In caso contrario, vi sarebbe il rischio concreto di certificare attività non realmente svolte, con conseguenti implicazioni sul piano deontologico, giuridico e della qualità formativa.</w:t>
      </w:r>
      <w:r w:rsidR="00F51E5E" w:rsidRPr="00226489">
        <w:rPr>
          <w:rFonts w:eastAsia="Tahoma Bold" w:cs="Tahoma Bold"/>
        </w:rPr>
        <w:t xml:space="preserve"> </w:t>
      </w:r>
      <w:r w:rsidRPr="00226489">
        <w:rPr>
          <w:rFonts w:eastAsia="Tahoma Bold" w:cs="Tahoma Bold"/>
        </w:rPr>
        <w:t>È previsto un confronto tra il numero complessivo di prestazioni certificate come svolte dagli studenti (numero di prestazioni previste per ciascuno, moltiplicato per il numero di studenti) e le prestazioni effettivamente erogate dalle strutture assistenziali sede di tirocinio. L’obiettivo è quello di porre tutte le sedi nelle condizioni di raggiungere in sicurezza il momento in cui l’attivazione della laurea abilitante diventerà obbligatoria, ossia a partire dall’A.A. 2027/2028.</w:t>
      </w:r>
    </w:p>
    <w:p w14:paraId="536CAA89" w14:textId="77777777" w:rsidR="00F51E5E" w:rsidRPr="00226489" w:rsidRDefault="00F51E5E" w:rsidP="00F51E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Bold" w:cs="Tahoma Bold"/>
        </w:rPr>
      </w:pPr>
      <w:r w:rsidRPr="00226489">
        <w:rPr>
          <w:rFonts w:eastAsia="Tahoma Bold" w:cs="Tahoma Bold"/>
        </w:rPr>
        <w:t xml:space="preserve">Nella seduta della Conferenza Permanente dei Presidenti dei Corsi di Laurea Magistrale in Odontoiatria e Protesi Dentaria svoltosi a Trieste il giorno 21 giugno 2024 è stata designata la composizione del Comitato di Indirizzo Nazionale che avrà come componenti: Presidente Nazionale del Collegio dei Docenti di Discipline odontostomatologiche (CDUO), Presidente Nazionale della Commissione Albo Odontoiatri (CAO), Presidente Nazionale delle principali associazioni sindacali di area odontoiatrica (ANDI, Associazione Nazionale Dentisti Italiani; AIO, Associazione Italiana Odontoiatri), Presidente Nazionale AISO (Associazione Italiana Studenti di Odontoiatri), il Referente nazionale  delle Scuole di Specializzazione in Ortognatodonzia, il Referente nazionale delle Scuole di Specializzazione in Odontoiatria Pediatrica, il Referente nazionale  Scuole di Specializzazione in Chirurgia Orale. </w:t>
      </w:r>
    </w:p>
    <w:p w14:paraId="7CA307A4" w14:textId="5153E2A8" w:rsidR="00F51E5E" w:rsidRPr="00226489" w:rsidRDefault="00F51E5E" w:rsidP="00F51E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Bold" w:cs="Tahoma Bold"/>
        </w:rPr>
      </w:pPr>
      <w:r w:rsidRPr="00226489">
        <w:rPr>
          <w:rFonts w:eastAsia="Tahoma Bold" w:cs="Tahoma Bold"/>
        </w:rPr>
        <w:t xml:space="preserve">Il Comitato di indirizzo assicura il costante collegamento con il mondo del lavoro ed è coinvolto nella definizione e progettazione dell’offerta formativa e degli obiettivi di apprendimento dei CdS per promuove le conoscenze e le competenze più aggiornate nelle diverse discipline odontoiatriche e rafforzare la relazione tra la ricerca ed il lavoro, anche per il monitoraggio del processo di passaggio alla laurea abilitante. Il comitato di indirizzo avrà costituzione rinnovata in relazione alla rotazione delle cariche. </w:t>
      </w:r>
    </w:p>
    <w:p w14:paraId="156927C6" w14:textId="77777777" w:rsidR="00F51E5E" w:rsidRPr="00226489" w:rsidRDefault="00F51E5E" w:rsidP="00F51E5E">
      <w:pPr>
        <w:jc w:val="both"/>
        <w:rPr>
          <w:rFonts w:eastAsia="Tahoma Bold" w:cs="Tahoma Bold"/>
        </w:rPr>
      </w:pPr>
      <w:r w:rsidRPr="00226489">
        <w:rPr>
          <w:rFonts w:eastAsia="Tahoma Bold" w:cs="Tahoma Bold"/>
        </w:rPr>
        <w:t>Attesa la necessità di applicazione del DM 1649 del 19/12/2023, primariamente sui criteri di semplificazione e flessibilità come previsto dall’art.3 comma 6, al fine di favorire le occasioni di approfondimento critico ed evitare la dispersione su un numero eccessivo di discipline, di insegnamenti o dei relativi moduli, sono riservati ulteriori 8 crediti a scelta dello studente nell’ambito dei crediti di tirocinio obbligatori previsti per le attività formative professionalizzanti. Inoltre, relativamente al trasferimento degli studenti ad un'altra università, ci si propone di armonizzare gli ordinamenti didattici in modo da rispondere a quanto indicato dai commi 11 e 12 dell’art.3 del decreto per il riconoscimento dei crediti maturati dallo studente.</w:t>
      </w:r>
    </w:p>
    <w:p w14:paraId="7C5B34A5" w14:textId="2118C385" w:rsidR="002B4951" w:rsidRPr="00226489" w:rsidRDefault="002B4951" w:rsidP="00083A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jc w:val="both"/>
        <w:rPr>
          <w:rFonts w:eastAsia="Tahoma Bold" w:cs="Tahoma Bold"/>
        </w:rPr>
      </w:pPr>
      <w:r w:rsidRPr="00226489">
        <w:rPr>
          <w:rFonts w:eastAsia="Tahoma Bold" w:cs="Tahoma Bold"/>
        </w:rPr>
        <w:t xml:space="preserve">Nella riunione della Conferenza </w:t>
      </w:r>
      <w:r w:rsidR="00F624C6" w:rsidRPr="00226489">
        <w:rPr>
          <w:rFonts w:eastAsia="Tahoma Bold" w:cs="Tahoma Bold"/>
        </w:rPr>
        <w:t>P</w:t>
      </w:r>
      <w:r w:rsidRPr="00226489">
        <w:rPr>
          <w:rFonts w:eastAsia="Tahoma Bold" w:cs="Tahoma Bold"/>
        </w:rPr>
        <w:t xml:space="preserve">ermanente dei </w:t>
      </w:r>
      <w:r w:rsidR="00F624C6" w:rsidRPr="00226489">
        <w:rPr>
          <w:rFonts w:eastAsia="Tahoma Bold" w:cs="Tahoma Bold"/>
        </w:rPr>
        <w:t>P</w:t>
      </w:r>
      <w:r w:rsidRPr="00226489">
        <w:rPr>
          <w:rFonts w:eastAsia="Tahoma Bold" w:cs="Tahoma Bold"/>
        </w:rPr>
        <w:t xml:space="preserve">residenti dei </w:t>
      </w:r>
      <w:r w:rsidR="00F624C6" w:rsidRPr="00226489">
        <w:rPr>
          <w:rFonts w:eastAsia="Tahoma Bold" w:cs="Tahoma Bold"/>
        </w:rPr>
        <w:t>C</w:t>
      </w:r>
      <w:r w:rsidRPr="00226489">
        <w:rPr>
          <w:rFonts w:eastAsia="Tahoma Bold" w:cs="Tahoma Bold"/>
        </w:rPr>
        <w:t xml:space="preserve">orsi di </w:t>
      </w:r>
      <w:r w:rsidR="00F624C6" w:rsidRPr="00226489">
        <w:rPr>
          <w:rFonts w:eastAsia="Tahoma Bold" w:cs="Tahoma Bold"/>
        </w:rPr>
        <w:t>L</w:t>
      </w:r>
      <w:r w:rsidRPr="00226489">
        <w:rPr>
          <w:rFonts w:eastAsia="Tahoma Bold" w:cs="Tahoma Bold"/>
        </w:rPr>
        <w:t xml:space="preserve">aurea </w:t>
      </w:r>
      <w:r w:rsidR="00F624C6" w:rsidRPr="00226489">
        <w:rPr>
          <w:rFonts w:eastAsia="Tahoma Bold" w:cs="Tahoma Bold"/>
        </w:rPr>
        <w:t>M</w:t>
      </w:r>
      <w:r w:rsidRPr="00226489">
        <w:rPr>
          <w:rFonts w:eastAsia="Tahoma Bold" w:cs="Tahoma Bold"/>
        </w:rPr>
        <w:t xml:space="preserve">agistrale in </w:t>
      </w:r>
      <w:r w:rsidR="00F624C6" w:rsidRPr="00226489">
        <w:rPr>
          <w:rFonts w:eastAsia="Tahoma Bold" w:cs="Tahoma Bold"/>
        </w:rPr>
        <w:t>O</w:t>
      </w:r>
      <w:r w:rsidRPr="00226489">
        <w:rPr>
          <w:rFonts w:eastAsia="Tahoma Bold" w:cs="Tahoma Bold"/>
        </w:rPr>
        <w:t xml:space="preserve">dontoiatria e Protesi Dentaria svoltosi a Roma il giorno 15 dicembre 2023 è emersa la necessità da parte della governance dei CdL di dotarsi di un “COMITATO DI INDIRIZZO” per la revisione dei percorsi formativi. Si è quindi deciso di avviare un percorso nazionale in cui poter coinvolgere le rappresentanze delle istituzioni, delle Commissioni Albo Odontoiatri degli Ordini dei Medici Chirurghi e degli </w:t>
      </w:r>
      <w:r w:rsidRPr="00226489">
        <w:rPr>
          <w:rFonts w:eastAsia="Tahoma Bold" w:cs="Tahoma Bold"/>
        </w:rPr>
        <w:lastRenderedPageBreak/>
        <w:t xml:space="preserve">Odontoiatri,  delle associazioni sindacali, delle rappresentanze studentesche, dei rappresentanti della sanità pubblica e privata, delle associazioni dei pazienti e delle ONG che operano in ambito sanitario e dei rappresentanti delle industrie che offrono servizi tecnologici, farmaceutici o sanitari nel territorio, ma anche in ambito nazionale ed internazionale.  </w:t>
      </w:r>
    </w:p>
    <w:p w14:paraId="4ABD2BDB" w14:textId="3B53AE28" w:rsidR="00ED2438" w:rsidRPr="00226489" w:rsidRDefault="00ED2438" w:rsidP="00AF3662">
      <w:pPr>
        <w:jc w:val="both"/>
        <w:rPr>
          <w:b/>
          <w:bCs/>
          <w:u w:val="single"/>
        </w:rPr>
      </w:pPr>
      <w:r w:rsidRPr="00226489">
        <w:rPr>
          <w:b/>
          <w:bCs/>
          <w:u w:val="single"/>
        </w:rPr>
        <w:t>QUADRO A2.a – Profilo professionale e sbocchi occupazionali e professionali previsti per i laureati</w:t>
      </w:r>
    </w:p>
    <w:p w14:paraId="44B35FE0" w14:textId="4471D68D" w:rsidR="00ED2438" w:rsidRPr="00226489" w:rsidRDefault="00ED2438" w:rsidP="00AF3662">
      <w:pPr>
        <w:jc w:val="both"/>
        <w:rPr>
          <w:b/>
          <w:bCs/>
        </w:rPr>
      </w:pPr>
      <w:r w:rsidRPr="00226489">
        <w:rPr>
          <w:b/>
          <w:bCs/>
        </w:rPr>
        <w:t>Odontoiatra</w:t>
      </w:r>
    </w:p>
    <w:p w14:paraId="072FE37B" w14:textId="1A9AEE44" w:rsidR="00ED2438" w:rsidRPr="00226489" w:rsidRDefault="00ED2438" w:rsidP="00AF3662">
      <w:pPr>
        <w:jc w:val="both"/>
        <w:rPr>
          <w:b/>
          <w:bCs/>
        </w:rPr>
      </w:pPr>
      <w:r w:rsidRPr="00226489">
        <w:rPr>
          <w:b/>
          <w:bCs/>
        </w:rPr>
        <w:t>Funzione in un contesto di lavoro:</w:t>
      </w:r>
    </w:p>
    <w:p w14:paraId="533692F0" w14:textId="77777777" w:rsidR="00ED2438" w:rsidRPr="00226489" w:rsidRDefault="00ED2438" w:rsidP="00AF3662">
      <w:pPr>
        <w:jc w:val="both"/>
      </w:pPr>
      <w:r w:rsidRPr="00226489">
        <w:t xml:space="preserve">I principali compiti che la laureata/il laureato in Odontoiatria e Protesi Dentaria può svolgere nella professione di Odontoiatra sono le attività inerenti alla diagnosi ed alla terapia delle malattie ed anomalie congenite ed acquisite dei denti, della bocca, delle mascelle e dei relativi tessuti, nonché alla prevenzione ed alla riabilitazione odontoiatriche. Gli odontoiatri devono possedere conoscenze di organizzazione gestionale idonee a coordinare l'attività di unità operative in cui sono coinvolte diverse figure professionali quali igienisti dentali, assistenti di studio odontoiatrico, odontotecnici e personale amministrativo. Per raggiungere maggiori livelli di responsabilità la laureata/il laureato in Odontoiatria e Protesi Dentaria può acquisire ulteriori competenze tramite successivi percorsi di formazione quali le Scuole di Specializzazione di area odontoiatrica (in Italia Chirurgia Orale, Odontoiatria Pediatrica, Ortognatodonzia), dottorato di ricerca, master e corsi di formazione anche in paesi UE ed extra-UE. </w:t>
      </w:r>
    </w:p>
    <w:p w14:paraId="6FAFF64C" w14:textId="77777777" w:rsidR="00ED2438" w:rsidRPr="00226489" w:rsidRDefault="00ED2438" w:rsidP="00AF3662">
      <w:pPr>
        <w:jc w:val="both"/>
      </w:pPr>
      <w:r w:rsidRPr="00226489">
        <w:rPr>
          <w:b/>
          <w:bCs/>
        </w:rPr>
        <w:t>Competenze associate alla funzione:</w:t>
      </w:r>
    </w:p>
    <w:p w14:paraId="4C88BE24" w14:textId="77777777" w:rsidR="00ED2438" w:rsidRPr="00226489" w:rsidRDefault="00ED2438" w:rsidP="00AF3662">
      <w:pPr>
        <w:jc w:val="both"/>
      </w:pPr>
      <w:r w:rsidRPr="00226489">
        <w:t>Nel contesto della propria funzione professionale, la laureata/il laureato  nei corsi di laurea magistrale in odontoiatria e protesi dentaria svolgono attività inerenti la prevenzione, la diagnosi e la terapia delle malattie ed anomalie congenite ed acquisite dei denti, della bocca, delle ossa mascellari, delle articolazioni temporo-mandibolari e dei relativi tessuti, nonché la riabilitazione odontoiatrica, prescrivendo tutti i medicamenti ed i presìdi necessari all'esercizio della professione.</w:t>
      </w:r>
    </w:p>
    <w:p w14:paraId="34F340B9" w14:textId="77777777" w:rsidR="00ED2438" w:rsidRPr="00226489" w:rsidRDefault="00ED2438" w:rsidP="00AF3662">
      <w:pPr>
        <w:jc w:val="both"/>
      </w:pPr>
      <w:r w:rsidRPr="00226489">
        <w:t>Deve essere inoltre in grado di:</w:t>
      </w:r>
    </w:p>
    <w:p w14:paraId="7306C448" w14:textId="77777777" w:rsidR="00ED2438" w:rsidRPr="00226489" w:rsidRDefault="00ED2438" w:rsidP="00AF3662">
      <w:pPr>
        <w:jc w:val="both"/>
      </w:pPr>
      <w:r w:rsidRPr="00226489">
        <w:t>- applicare correttamente le conoscenze odontoiatriche, le abilità cliniche e i valori professionali, fornendo un'assistenza di alta qualità e sicura, incentrata sul paziente.</w:t>
      </w:r>
    </w:p>
    <w:p w14:paraId="65A4FE82" w14:textId="77777777" w:rsidR="00ED2438" w:rsidRPr="00226489" w:rsidRDefault="00ED2438" w:rsidP="00AF3662">
      <w:pPr>
        <w:jc w:val="both"/>
      </w:pPr>
      <w:r w:rsidRPr="00226489">
        <w:t>- raccogliere, interpretare e valutare criticamente informazioni e dati relativi allo stato di salute orale e di malattia del singolo individuo per prendere decisioni cliniche ed eseguire interventi diagnostici e terapeutici all'interno del proprio ambito di pratica con la consapevolezza dei limiti della propria competenza;</w:t>
      </w:r>
    </w:p>
    <w:p w14:paraId="05C4A0EA" w14:textId="77777777" w:rsidR="00ED2438" w:rsidRPr="00226489" w:rsidRDefault="00ED2438" w:rsidP="00AF3662">
      <w:pPr>
        <w:jc w:val="both"/>
      </w:pPr>
      <w:r w:rsidRPr="00226489">
        <w:t xml:space="preserve">- elaborare un processo decisionale che sia informato dalle migliori pratiche derivate dalla </w:t>
      </w:r>
      <w:proofErr w:type="spellStart"/>
      <w:r w:rsidRPr="00226489">
        <w:t>Evidence</w:t>
      </w:r>
      <w:proofErr w:type="spellEnd"/>
      <w:r w:rsidRPr="00226489">
        <w:t xml:space="preserve"> </w:t>
      </w:r>
      <w:proofErr w:type="spellStart"/>
      <w:r w:rsidRPr="00226489">
        <w:t>Based</w:t>
      </w:r>
      <w:proofErr w:type="spellEnd"/>
      <w:r w:rsidRPr="00226489">
        <w:t xml:space="preserve"> </w:t>
      </w:r>
      <w:proofErr w:type="spellStart"/>
      <w:r w:rsidRPr="00226489">
        <w:t>Dentistry</w:t>
      </w:r>
      <w:proofErr w:type="spellEnd"/>
      <w:r w:rsidRPr="00226489">
        <w:t>, prendendo in considerazione le circostanze specifiche e le preferenze del paziente, in relazione alla disponibilità di risorse;</w:t>
      </w:r>
    </w:p>
    <w:p w14:paraId="635DE2C2" w14:textId="77777777" w:rsidR="00ED2438" w:rsidRPr="00226489" w:rsidRDefault="00ED2438" w:rsidP="00AF3662">
      <w:pPr>
        <w:jc w:val="both"/>
      </w:pPr>
      <w:r w:rsidRPr="00226489">
        <w:t>- utilizzare le conoscenze scientifiche e le tecnologie innovative integrate nel complesso processo di prevenzione, diagnosi e cura.</w:t>
      </w:r>
    </w:p>
    <w:p w14:paraId="23D11DB2" w14:textId="77777777" w:rsidR="00ED2438" w:rsidRPr="00226489" w:rsidRDefault="00ED2438" w:rsidP="00AF3662">
      <w:pPr>
        <w:jc w:val="both"/>
      </w:pPr>
      <w:r w:rsidRPr="00226489">
        <w:t>- mettere in atto una pratica clinica aggiornata, etica ed efficiente, condotta in collaborazione con i pazienti e le loro famiglie, altri professionisti della salute e la comunità;</w:t>
      </w:r>
    </w:p>
    <w:p w14:paraId="286CFAC0" w14:textId="77777777" w:rsidR="00ED2438" w:rsidRPr="00226489" w:rsidRDefault="00ED2438" w:rsidP="00AF3662">
      <w:pPr>
        <w:jc w:val="both"/>
      </w:pPr>
      <w:r w:rsidRPr="00226489">
        <w:t>- utilizzare comportamenti ed attitudini del “sapere essere” odontoiatra, avendo acquisito i valori della professionalità, aderendo ai principi etici della professione e osservando le regole del codice deontologico;</w:t>
      </w:r>
    </w:p>
    <w:p w14:paraId="77DC5D5B" w14:textId="77777777" w:rsidR="00ED2438" w:rsidRPr="00226489" w:rsidRDefault="00ED2438" w:rsidP="00AF3662">
      <w:pPr>
        <w:jc w:val="both"/>
      </w:pPr>
      <w:r w:rsidRPr="00226489">
        <w:lastRenderedPageBreak/>
        <w:t>- contribuire, con la propria esperienza e il proprio lavoro, a migliorare la salute orale della comunità, della popolazione, comprendendo i bisogni di salute globale e adoperandosi alla mobilitazione delle risorse necessarie ai cambiamenti</w:t>
      </w:r>
    </w:p>
    <w:p w14:paraId="162B88F5" w14:textId="77777777" w:rsidR="00ED2438" w:rsidRPr="00226489" w:rsidRDefault="00ED2438" w:rsidP="00AF3662">
      <w:pPr>
        <w:jc w:val="both"/>
      </w:pPr>
      <w:r w:rsidRPr="00226489">
        <w:t>Nel contesto della propria funzione, la laureata/il laureato sviluppa un approccio al caso clinico di tipo interdisciplinare, anche e soprattutto in collaborazione con altre figure dell'équipe sanitaria, approfondendo la conoscenza delle regole e delle dinamiche che caratterizzano il lavoro del gruppo degli operatori sanitari.</w:t>
      </w:r>
    </w:p>
    <w:p w14:paraId="1F31D4CE" w14:textId="2094C558" w:rsidR="00ED2438" w:rsidRPr="00226489" w:rsidRDefault="00ED2438" w:rsidP="00AF3662">
      <w:pPr>
        <w:jc w:val="both"/>
        <w:rPr>
          <w:b/>
          <w:bCs/>
        </w:rPr>
      </w:pPr>
      <w:r w:rsidRPr="00226489">
        <w:rPr>
          <w:b/>
          <w:bCs/>
        </w:rPr>
        <w:t>Sbocchi occupazionali:</w:t>
      </w:r>
    </w:p>
    <w:p w14:paraId="55BDA658" w14:textId="77777777" w:rsidR="00ED2438" w:rsidRPr="00226489" w:rsidRDefault="00ED2438" w:rsidP="00AF3662">
      <w:pPr>
        <w:jc w:val="both"/>
      </w:pPr>
      <w:r w:rsidRPr="00226489">
        <w:t>I laureati e le laureate in Odontoiatria e Protesi Dentaria hanno opportunità di esercizio professionale con diritto di stabilimento e di esercizio della professione nei paesi dell'Unione Europea e ove garantito dal riconoscimento bilaterale dei titoli di studio tra i Paesi dell'Unione europea.</w:t>
      </w:r>
    </w:p>
    <w:p w14:paraId="67A3710E" w14:textId="77777777" w:rsidR="00ED2438" w:rsidRPr="00226489" w:rsidRDefault="00ED2438" w:rsidP="00AF3662">
      <w:pPr>
        <w:jc w:val="both"/>
      </w:pPr>
      <w:r w:rsidRPr="00226489">
        <w:t xml:space="preserve">L'odontoiatra può svolgere attività in vari ruoli ed ambiti professionali clinici, sanitari e biomedici. </w:t>
      </w:r>
    </w:p>
    <w:p w14:paraId="0435264B" w14:textId="77777777" w:rsidR="00ED2438" w:rsidRPr="00226489" w:rsidRDefault="00ED2438" w:rsidP="00AF3662">
      <w:pPr>
        <w:jc w:val="both"/>
      </w:pPr>
      <w:r w:rsidRPr="00226489">
        <w:t>Gli sbocchi occupazionali, regolati in base alle prescrizioni di legge, prevedono:</w:t>
      </w:r>
    </w:p>
    <w:p w14:paraId="060AB68F" w14:textId="77777777" w:rsidR="00ED2438" w:rsidRPr="00226489" w:rsidRDefault="00ED2438" w:rsidP="00AF3662">
      <w:pPr>
        <w:jc w:val="both"/>
      </w:pPr>
      <w:r w:rsidRPr="00226489">
        <w:t>a) attività presso strutture del servizio sanitario nazionale, in Enti pubblici e aziende statali/pubbliche o private;</w:t>
      </w:r>
    </w:p>
    <w:p w14:paraId="640A3EF9" w14:textId="77777777" w:rsidR="00ED2438" w:rsidRPr="00226489" w:rsidRDefault="00ED2438" w:rsidP="00AF3662">
      <w:pPr>
        <w:jc w:val="both"/>
      </w:pPr>
      <w:r w:rsidRPr="00226489">
        <w:t>b) attività di ricerca nei settori della odontoiatria clinici o preclinici;</w:t>
      </w:r>
    </w:p>
    <w:p w14:paraId="781ECB0B" w14:textId="77777777" w:rsidR="00ED2438" w:rsidRPr="00226489" w:rsidRDefault="00ED2438" w:rsidP="00AF3662">
      <w:pPr>
        <w:jc w:val="both"/>
      </w:pPr>
      <w:r w:rsidRPr="00226489">
        <w:t>c) attività come libero professionista</w:t>
      </w:r>
    </w:p>
    <w:p w14:paraId="0E336B3D" w14:textId="22EBB528" w:rsidR="00ED2438" w:rsidRPr="00226489" w:rsidRDefault="00ED2438" w:rsidP="00AF3662">
      <w:pPr>
        <w:jc w:val="both"/>
      </w:pPr>
      <w:r w:rsidRPr="00226489">
        <w:t>Secondo i dati ISTAT, la laureata/il laureato in Odontoiatria e Protesi Dentaria in Italia svolge principalmente la sua attività in regime libero-professionale. Un caso particolare di sbocco occupazionale è la prosecuzione degli studi in Dottorati di Ricerca o Scuole di Specializzazione di area odontoiatrica. In Italia sono attualmente attive le Scuole di Specializzazione in Chirurgia Orale, Odontoiatria Pediatrica e Ortognatodonzia. Presso l’Ateneo di Catanzaro è attiva dall’A.A. 2019/2020 la Scuola di Specializzazione in Chirurgia Orale.</w:t>
      </w:r>
    </w:p>
    <w:p w14:paraId="4DB54B73" w14:textId="2D0D4679" w:rsidR="00ED2438" w:rsidRPr="00226489" w:rsidRDefault="00ED2438" w:rsidP="00AF3662">
      <w:pPr>
        <w:jc w:val="both"/>
        <w:rPr>
          <w:b/>
          <w:bCs/>
          <w:u w:val="single"/>
        </w:rPr>
      </w:pPr>
      <w:r w:rsidRPr="00226489">
        <w:rPr>
          <w:b/>
          <w:bCs/>
          <w:u w:val="single"/>
        </w:rPr>
        <w:t xml:space="preserve">QUADRO A2.b </w:t>
      </w:r>
      <w:r w:rsidR="002B5CA9" w:rsidRPr="00226489">
        <w:rPr>
          <w:b/>
          <w:bCs/>
          <w:u w:val="single"/>
        </w:rPr>
        <w:t xml:space="preserve">– </w:t>
      </w:r>
      <w:r w:rsidRPr="00226489">
        <w:rPr>
          <w:b/>
          <w:bCs/>
          <w:u w:val="single"/>
        </w:rPr>
        <w:t>Il corso prepara alla professione di (codifiche ISTAT)</w:t>
      </w:r>
    </w:p>
    <w:p w14:paraId="6D18AE11" w14:textId="318FA378" w:rsidR="00ED2438" w:rsidRPr="00226489" w:rsidRDefault="00ED2438" w:rsidP="00AF3662">
      <w:pPr>
        <w:pStyle w:val="Paragrafoelenco"/>
        <w:numPr>
          <w:ilvl w:val="0"/>
          <w:numId w:val="1"/>
        </w:numPr>
        <w:jc w:val="both"/>
      </w:pPr>
      <w:r w:rsidRPr="00226489">
        <w:t xml:space="preserve">Dentisti e </w:t>
      </w:r>
      <w:proofErr w:type="spellStart"/>
      <w:r w:rsidRPr="00226489">
        <w:t>odontostomatologi</w:t>
      </w:r>
      <w:proofErr w:type="spellEnd"/>
      <w:r w:rsidRPr="00226489">
        <w:t xml:space="preserve"> - (2.4.1.5.0)</w:t>
      </w:r>
    </w:p>
    <w:p w14:paraId="0B566C83" w14:textId="07B6D333" w:rsidR="00ED2438" w:rsidRPr="00226489" w:rsidRDefault="00ED2438" w:rsidP="00AF3662">
      <w:pPr>
        <w:jc w:val="both"/>
        <w:rPr>
          <w:b/>
          <w:bCs/>
          <w:u w:val="single"/>
        </w:rPr>
      </w:pPr>
      <w:r w:rsidRPr="00226489">
        <w:rPr>
          <w:b/>
          <w:bCs/>
          <w:u w:val="single"/>
        </w:rPr>
        <w:t>QUADRO A3.a – Conoscenze richieste per l'accesso</w:t>
      </w:r>
      <w:r w:rsidR="000F275B" w:rsidRPr="00226489">
        <w:rPr>
          <w:b/>
          <w:bCs/>
          <w:u w:val="single"/>
        </w:rPr>
        <w:t xml:space="preserve"> (Testo CUN)</w:t>
      </w:r>
    </w:p>
    <w:p w14:paraId="688ACD94" w14:textId="468EBCEC" w:rsidR="000F275B" w:rsidRPr="00226489" w:rsidRDefault="000F275B" w:rsidP="000F275B">
      <w:pPr>
        <w:jc w:val="both"/>
      </w:pPr>
      <w:bookmarkStart w:id="1" w:name="_Hlk215435462"/>
      <w:r w:rsidRPr="00226489">
        <w:t>L’accesso al corso di laurea magistrale a ciclo unico in Odontoiatria e protesi dentaria è subordinato al possesso di un diploma di scuola secondaria di secondo grado ovvero di un titolo di studio estero riconosciuto idoneo in conformità alla normativa vigente.</w:t>
      </w:r>
    </w:p>
    <w:p w14:paraId="0AE52CDB" w14:textId="0F4B97CA" w:rsidR="000F275B" w:rsidRPr="00226489" w:rsidRDefault="000F275B" w:rsidP="000F275B">
      <w:pPr>
        <w:jc w:val="both"/>
      </w:pPr>
      <w:r w:rsidRPr="00226489">
        <w:t>Le conoscenze iniziali necessarie sono quelle previste nei programmi delle scuole secondarie di secondo grado relative alle discipline di biologia, chimica, fisica e matematica, stabilite dalle Indicazioni nazionali per i Licei e dalle linee guida per gli Istituti Tecnici e per gli Istituti Professionali.</w:t>
      </w:r>
    </w:p>
    <w:p w14:paraId="7F9651B0" w14:textId="21D02EFF" w:rsidR="000F275B" w:rsidRPr="00226489" w:rsidRDefault="000F275B" w:rsidP="000F275B">
      <w:pPr>
        <w:jc w:val="both"/>
      </w:pPr>
      <w:r w:rsidRPr="00226489">
        <w:t>Le modalità di accesso al corso di laurea magistrale in Odontoiatria e protesi dentaria ad esito di un semestre filtro, sono definite con apposito provvedimento dal Ministero dell’Università e della Ricerca, nel rispetto della normativa vigente.</w:t>
      </w:r>
    </w:p>
    <w:bookmarkEnd w:id="1"/>
    <w:p w14:paraId="20C23EBF" w14:textId="7D820211" w:rsidR="007168C5" w:rsidRPr="00226489" w:rsidRDefault="007168C5" w:rsidP="00AF3662">
      <w:pPr>
        <w:jc w:val="both"/>
        <w:rPr>
          <w:b/>
          <w:bCs/>
          <w:u w:val="single"/>
        </w:rPr>
      </w:pPr>
      <w:r w:rsidRPr="00226489">
        <w:rPr>
          <w:b/>
          <w:bCs/>
          <w:u w:val="single"/>
        </w:rPr>
        <w:t xml:space="preserve">QUADRO A3.b </w:t>
      </w:r>
      <w:r w:rsidR="002B5CA9" w:rsidRPr="00226489">
        <w:rPr>
          <w:b/>
          <w:bCs/>
          <w:u w:val="single"/>
        </w:rPr>
        <w:t xml:space="preserve">– </w:t>
      </w:r>
      <w:r w:rsidRPr="00226489">
        <w:rPr>
          <w:b/>
          <w:bCs/>
          <w:u w:val="single"/>
        </w:rPr>
        <w:t>Modalità di ammissione</w:t>
      </w:r>
    </w:p>
    <w:p w14:paraId="38754D01" w14:textId="77777777" w:rsidR="00A85EED" w:rsidRPr="00226489" w:rsidRDefault="00A85EED" w:rsidP="00A85EED">
      <w:pPr>
        <w:jc w:val="both"/>
      </w:pPr>
      <w:r w:rsidRPr="00226489">
        <w:t>Ai sensi quanto previsto dalla legge 14 marzo 2025, n. 26 e dal Decreto Legislativo del 15 maggio 2025, n. 71, per l’anno accademico 2025-2026, le modalità di ammissione al corso di Laurea Magistrale a ciclo unico in Odontoiatria e protesi dentaria prevedono:</w:t>
      </w:r>
    </w:p>
    <w:p w14:paraId="0717E26E" w14:textId="35F1FB7F" w:rsidR="00A85EED" w:rsidRPr="00226489" w:rsidRDefault="00A85EED" w:rsidP="00A85EED">
      <w:pPr>
        <w:jc w:val="both"/>
      </w:pPr>
      <w:r w:rsidRPr="00226489">
        <w:lastRenderedPageBreak/>
        <w:t>- l’iscrizione libera al primo semestre (semestre filtro) del corso di laurea magistrale a ciclo unico in Odontoiatria e protesi dentaria;</w:t>
      </w:r>
    </w:p>
    <w:p w14:paraId="3A5638E1" w14:textId="777A187D" w:rsidR="00A85EED" w:rsidRPr="00226489" w:rsidRDefault="00A85EED" w:rsidP="00A85EED">
      <w:pPr>
        <w:jc w:val="both"/>
      </w:pPr>
      <w:r w:rsidRPr="00226489">
        <w:t>- l’iscrizione al semestre filtro consentita per un massimo di tre volte;</w:t>
      </w:r>
    </w:p>
    <w:p w14:paraId="18D0DBF1" w14:textId="05F0E090" w:rsidR="00A85EED" w:rsidRPr="00226489" w:rsidRDefault="00A85EED" w:rsidP="00A85EED">
      <w:pPr>
        <w:jc w:val="both"/>
      </w:pPr>
      <w:r w:rsidRPr="00226489">
        <w:t>- l’iscrizione contemporanea e gratuita ad altro corso di laurea o di laurea magistrale, anche in soprannumero e in Università diverse, nelle aree biomedica, sanitaria e farmaceutica, corsi di studio che sono stati stabiliti dal Decreto del Ministro dell’Università e della Ricerca n. 418 del 30 maggio 2025;</w:t>
      </w:r>
    </w:p>
    <w:p w14:paraId="1F927BFA" w14:textId="2B97AE58" w:rsidR="00A85EED" w:rsidRPr="00226489" w:rsidRDefault="00A85EED" w:rsidP="00A85EED">
      <w:pPr>
        <w:jc w:val="both"/>
      </w:pPr>
      <w:r w:rsidRPr="00226489">
        <w:t>- la frequenza obbligatoria, nel semestre filtro, ai corsi delle discipline qualificanti individuate dal Decreto del Ministro dell’Università e della Ricerca n. 418 del 30 maggio 2025, nei seguenti insegnamenti, a cui sono assegnati 6 crediti formativi (CFU) ciascuno: a) Chimica e propedeutica biochimica; b) Fisica; c) Biologia, con programmi formativi uniformi e coordinati a livello nazionale, in modo da garantire l’armonizzazione dei piani di studio;</w:t>
      </w:r>
    </w:p>
    <w:p w14:paraId="51AAEDFA" w14:textId="53E18F48" w:rsidR="00A85EED" w:rsidRPr="00226489" w:rsidRDefault="00A85EED" w:rsidP="00A85EED">
      <w:pPr>
        <w:jc w:val="both"/>
      </w:pPr>
      <w:r w:rsidRPr="00226489">
        <w:t>- l’ammissione al secondo semestre del Corso di laurea magistrale a ciclo unico in Odontoiatria e protesi dentaria, subordinata al conseguimento di tutti i CFU stabiliti per gli esami di profitto del semestre filtro e alla collocazione in posizione utile nella graduatoria di merito nazionale, redatta dal Ministero sulla base del punteggio conseguito negli esami di profitto del semestre filtro, con modalità definite dal Decreto del Ministro dell’Università e della Ricerca n. 418 del 30 maggio 2025;</w:t>
      </w:r>
    </w:p>
    <w:p w14:paraId="25786697" w14:textId="0AB2AEC6" w:rsidR="00A85EED" w:rsidRPr="00226489" w:rsidRDefault="00A85EED" w:rsidP="00A85EED">
      <w:pPr>
        <w:jc w:val="both"/>
      </w:pPr>
      <w:r w:rsidRPr="00226489">
        <w:t>- le prove d’esame relative agli insegnamenti di cui si compone il semestre filtro sono svolte a livello nazionale e con modalità di verifica uniformi, così come definite dal Decreto del Ministro dell’Università e della Ricerca n. 418 del 30 maggio 2025; ciascuna prova d’esame consiste nella somministrazione di trentuno domande, di cui quindici a risposta multipla e sedici a risposta con modalità a completamento, secondo quanto previsto dall’allegato 2 del Decreto del Ministro dell’Università e della Ricerca n. 418 del 30 maggio 2025;</w:t>
      </w:r>
    </w:p>
    <w:p w14:paraId="77AC3AE8" w14:textId="5E2B4B09" w:rsidR="002B5CA9" w:rsidRPr="00226489" w:rsidRDefault="00A85EED" w:rsidP="00A85EED">
      <w:pPr>
        <w:jc w:val="both"/>
      </w:pPr>
      <w:r w:rsidRPr="00226489">
        <w:t>- in caso di ammissione al secondo semestre, ciascuno studente sarà immatricolato in una delle sedi universitarie indicate, secondo l’ordine di preferenza espresso in sede di iscrizione, ovvero in un’altra sede, sulla base della ricognizione dei posti disponibili non assegnati. I criteri per la formazione della graduatoria di merito nazionale, fermo restando quanto previsto dall’articolo 39, comma 2, del decreto legislativo 25 luglio 1998, n. 286, e le modalità di assegnazione delle sedi universitarie sono quelle definite dal Decreto del Ministro dell’Università e della Ricerca n. 418 del 30 maggio 2025.</w:t>
      </w:r>
    </w:p>
    <w:p w14:paraId="3F5E6E83" w14:textId="02B1BCFF" w:rsidR="002B5CA9" w:rsidRPr="00226489" w:rsidRDefault="002B5CA9" w:rsidP="00AF3662">
      <w:pPr>
        <w:jc w:val="both"/>
        <w:rPr>
          <w:b/>
          <w:bCs/>
        </w:rPr>
      </w:pPr>
      <w:r w:rsidRPr="00226489">
        <w:rPr>
          <w:b/>
          <w:bCs/>
        </w:rPr>
        <w:t>RISULTATI DI APPRENDIMENTO ATTESI</w:t>
      </w:r>
    </w:p>
    <w:p w14:paraId="604F3305" w14:textId="2C1E4152" w:rsidR="002B5CA9" w:rsidRPr="00226489" w:rsidRDefault="002B5CA9" w:rsidP="00AF3662">
      <w:pPr>
        <w:jc w:val="both"/>
        <w:rPr>
          <w:b/>
          <w:bCs/>
          <w:u w:val="single"/>
        </w:rPr>
      </w:pPr>
      <w:r w:rsidRPr="00226489">
        <w:rPr>
          <w:b/>
          <w:bCs/>
          <w:u w:val="single"/>
        </w:rPr>
        <w:t>QUADRO A4.a – Obiettivi formativi specifici del Corso e descrizione del percorso formativo</w:t>
      </w:r>
    </w:p>
    <w:p w14:paraId="33EA3D4F" w14:textId="77777777" w:rsidR="005F65AB" w:rsidRPr="00226489" w:rsidRDefault="002B5CA9" w:rsidP="00AF3662">
      <w:pPr>
        <w:jc w:val="both"/>
      </w:pPr>
      <w:r w:rsidRPr="00226489">
        <w:t>INTRODUZIONE ALLE AREE DI APPRENDIMENTO IN RELAZIONE ALLE DESTINAZIONI PROFESSIONALI</w:t>
      </w:r>
    </w:p>
    <w:p w14:paraId="37F119B0" w14:textId="03BD4A69" w:rsidR="002B5CA9" w:rsidRPr="00226489" w:rsidRDefault="002B5CA9" w:rsidP="00AF3662">
      <w:pPr>
        <w:jc w:val="both"/>
      </w:pPr>
      <w:bookmarkStart w:id="2" w:name="_Hlk215435067"/>
      <w:r w:rsidRPr="00226489">
        <w:t xml:space="preserve">Ai fini del raggiungimento degli obiettivi didattici, il Corso di Laurea Magistrale a ciclo unico in Odontoiatria e Protesi Dentaria prevede 360 Crediti Formativi Universitari (CFU) complessivi, articolati su sei anni di corso, di cui almeno 90 CFU da acquisire in attività formative volte alla maturazione di specifiche capacità professionali. </w:t>
      </w:r>
      <w:r w:rsidR="005F65AB" w:rsidRPr="00226489">
        <w:t>I</w:t>
      </w:r>
      <w:r w:rsidRPr="00226489">
        <w:t xml:space="preserve">n attuazione della Missione 4, Componente 1, riforma 1.5 del PNRR «Riforma delle classi di laurea», si è ritenuta la necessità di incrementare la flessibilità e l'interdisciplinarietà dei corsi di studio, soprattutto al fine di fronteggiare il disallineamento emergente tra offerta formativa e domanda occupazionale, la distribuzione dei 360 crediti formativi è determinata nel rispetto dell’articolo 3, commi 6 e 7 del   DM n.1649 del 19/12/2023, che stabilisce i crediti da attribuire agli ambiti disciplinari includenti le “attività formative indispensabili' alla formazione dell'odontoiatra, distinte in attività formative di base e caratterizzanti. Al CFU, che corrisponde a 25 ore di impegno medio per studente, si offre l'attribuzione di un valore medio di </w:t>
      </w:r>
      <w:r w:rsidRPr="003D0416">
        <w:rPr>
          <w:highlight w:val="yellow"/>
        </w:rPr>
        <w:t>1</w:t>
      </w:r>
      <w:r w:rsidR="003D0416" w:rsidRPr="003D0416">
        <w:rPr>
          <w:highlight w:val="yellow"/>
        </w:rPr>
        <w:t>2,5</w:t>
      </w:r>
      <w:r w:rsidRPr="003D0416">
        <w:rPr>
          <w:highlight w:val="yellow"/>
        </w:rPr>
        <w:t xml:space="preserve"> ore</w:t>
      </w:r>
      <w:r w:rsidRPr="00226489">
        <w:t xml:space="preserve"> per lezione frontale e di 20 ore per l’attività professionalizzante con guida del docente su piccoli gruppi all'interno della </w:t>
      </w:r>
      <w:r w:rsidRPr="00226489">
        <w:lastRenderedPageBreak/>
        <w:t>struttura didattica e del territorio. La restante quota del credito formativo è a disposizione dello studente per lo studio personale o per altre attività formative di tipo individuale.</w:t>
      </w:r>
    </w:p>
    <w:p w14:paraId="37733454" w14:textId="77777777" w:rsidR="002B5CA9" w:rsidRPr="00226489" w:rsidRDefault="002B5CA9" w:rsidP="00AF3662">
      <w:pPr>
        <w:jc w:val="both"/>
      </w:pPr>
      <w:r w:rsidRPr="00226489">
        <w:t xml:space="preserve">Il corso di studio si pone l’obiettivo di formare la figura professionale dell’Odontoiatra (categoria ISTAT Dentisti e </w:t>
      </w:r>
      <w:proofErr w:type="spellStart"/>
      <w:r w:rsidRPr="00226489">
        <w:t>Odontostomatologi</w:t>
      </w:r>
      <w:proofErr w:type="spellEnd"/>
      <w:r w:rsidRPr="00226489">
        <w:t>), professionista idoneo a trattare le malattie della bocca e dei denti onde ripristinare e/o mantenere le funzioni fisiologiche del distretto odontostomatologico.</w:t>
      </w:r>
    </w:p>
    <w:p w14:paraId="59AB479E" w14:textId="77777777" w:rsidR="002B5CA9" w:rsidRPr="00226489" w:rsidRDefault="002B5CA9" w:rsidP="00AF3662">
      <w:pPr>
        <w:jc w:val="both"/>
      </w:pPr>
      <w:r w:rsidRPr="00226489">
        <w:t>A conclusione dei sei anni la laureata/il laureato magistrale in odontoiatria e protesi dentaria ha acquisito:</w:t>
      </w:r>
    </w:p>
    <w:p w14:paraId="1AE74EB8" w14:textId="77777777" w:rsidR="002B5CA9" w:rsidRPr="00226489" w:rsidRDefault="002B5CA9" w:rsidP="00AF3662">
      <w:pPr>
        <w:jc w:val="both"/>
      </w:pPr>
      <w:r w:rsidRPr="00226489">
        <w:t>- conoscenze teoriche essenziali delle scienze di base, nella prospettiva della loro successiva applicazione professionale, e comprensione dei metodi scientifici, compresi i principi relativi alla misura delle funzioni biologiche, alla valutazione di fatti stabiliti scientificamente e all'analisi dei dati;</w:t>
      </w:r>
    </w:p>
    <w:p w14:paraId="36C3A5E9" w14:textId="77777777" w:rsidR="002B5CA9" w:rsidRPr="00226489" w:rsidRDefault="002B5CA9" w:rsidP="00AF3662">
      <w:pPr>
        <w:jc w:val="both"/>
      </w:pPr>
      <w:r w:rsidRPr="00226489">
        <w:t>- capacità di rilevare e valutare criticamente da un punto di vista clinico, ed in una visione unitaria estesa anche alla dimensione socioculturale e di genere, i dati relativi allo stato di salute orale e di malattia del singolo individuo, interpretandoli alla luce delle conoscenze scientifiche di base, della fisiopatologia e delle patologie di organo e di apparato;</w:t>
      </w:r>
    </w:p>
    <w:p w14:paraId="0AC0B6E9" w14:textId="77777777" w:rsidR="002B5CA9" w:rsidRPr="00226489" w:rsidRDefault="002B5CA9" w:rsidP="00AF3662">
      <w:pPr>
        <w:jc w:val="both"/>
      </w:pPr>
      <w:r w:rsidRPr="00226489">
        <w:t>- abilità ed esperienza, unite a capacità di autovalutazione, per affrontare e risolvere responsabilmente i problemi odontostomatologici prioritari dal punto di vista preventivo, diagnostico, prognostico, terapeutico e riabilitativo;</w:t>
      </w:r>
    </w:p>
    <w:p w14:paraId="1E35C544" w14:textId="77777777" w:rsidR="002B5CA9" w:rsidRPr="00226489" w:rsidRDefault="002B5CA9" w:rsidP="00AF3662">
      <w:pPr>
        <w:jc w:val="both"/>
      </w:pPr>
      <w:r w:rsidRPr="00226489">
        <w:t>- conoscenza delle dimensioni storiche, epistemologiche ed etiche della odontoiatria;</w:t>
      </w:r>
    </w:p>
    <w:p w14:paraId="0FDD7329" w14:textId="77777777" w:rsidR="002B5CA9" w:rsidRPr="00226489" w:rsidRDefault="002B5CA9" w:rsidP="00AF3662">
      <w:pPr>
        <w:jc w:val="both"/>
      </w:pPr>
      <w:r w:rsidRPr="00226489">
        <w:t>- capacità di comunicare con chiarezza ed umanità con il paziente e con i familiari;</w:t>
      </w:r>
    </w:p>
    <w:p w14:paraId="3D979AE0" w14:textId="77777777" w:rsidR="002B5CA9" w:rsidRPr="00226489" w:rsidRDefault="002B5CA9" w:rsidP="00AF3662">
      <w:pPr>
        <w:jc w:val="both"/>
      </w:pPr>
      <w:r w:rsidRPr="00226489">
        <w:t>- capacità di collaborare con le diverse figure professionali nelle diverse attività sanitarie di gruppo;</w:t>
      </w:r>
    </w:p>
    <w:p w14:paraId="7C1D58F1" w14:textId="77777777" w:rsidR="002B5CA9" w:rsidRPr="00226489" w:rsidRDefault="002B5CA9" w:rsidP="00AF3662">
      <w:pPr>
        <w:jc w:val="both"/>
      </w:pPr>
      <w:r w:rsidRPr="00226489">
        <w:t>- capacità di applicare, nelle decisioni cliniche, anche i principi dell'economia sanitaria;</w:t>
      </w:r>
    </w:p>
    <w:p w14:paraId="0CEA0007" w14:textId="77777777" w:rsidR="002B5CA9" w:rsidRPr="00226489" w:rsidRDefault="002B5CA9" w:rsidP="00AF3662">
      <w:pPr>
        <w:jc w:val="both"/>
      </w:pPr>
      <w:r w:rsidRPr="00226489">
        <w:t>- capacità di riconoscere i problemi sanitari della comunità e di intervenire in modo competente.</w:t>
      </w:r>
    </w:p>
    <w:p w14:paraId="080FC45E" w14:textId="0D56FC57" w:rsidR="002B5CA9" w:rsidRPr="00226489" w:rsidRDefault="002B5CA9" w:rsidP="00AF3662">
      <w:pPr>
        <w:jc w:val="both"/>
      </w:pPr>
      <w:r w:rsidRPr="00226489">
        <w:t xml:space="preserve">Ai sensi degli articoli 1 e 3 della legge 8 novembre 2021, n. 163, </w:t>
      </w:r>
      <w:r w:rsidR="005F65AB" w:rsidRPr="00226489">
        <w:t xml:space="preserve">a partire dalla coorte 2022/2023 </w:t>
      </w:r>
      <w:r w:rsidRPr="00226489">
        <w:t xml:space="preserve">l’esame finale per il conseguimento della laurea magistrale a ciclo unico in Odontoiatria e protesi dentaria - classe LM-46 abilita all’esercizio della professione di odontoiatra. A tal fine il </w:t>
      </w:r>
      <w:proofErr w:type="gramStart"/>
      <w:r w:rsidRPr="00226489">
        <w:t>predetto</w:t>
      </w:r>
      <w:proofErr w:type="gramEnd"/>
      <w:r w:rsidRPr="00226489">
        <w:t xml:space="preserve"> esame finale comprende lo svolgimento di una Prova Pratica Valutativa (PPV) delle competenze professionali acquisite mediante un Tirocinio Pratico-Valutativo (TPV) interno ai corsi di studio, volta ad accertare il livello di preparazione pratica del candidato per l’abilitazione all’esercizio della professione, che precede la discussione della tesi di laurea. La PPV è organizzata mediante la discussione da parte dello studente di numero 3 casi clinici multidisciplinari trattati come primo operatore durante il TPV, che implicano piani di trattamento multidisciplinari con prestazioni afferenti alla maggioranza delle discipline oggetto del TPV, secondo le modalità individuate dal protocollo redatto dalla Conferenza permanente dei presidenti dei corsi di laurea in Odontoiatria e protesi dentaria, d’intesa con la Commissione Albo odontoiatri nazionale. Ai fini del superamento della PPV gli studenti conseguono un giudizio di idoneità a seguito del quale accedono alla discussione della tesi di laurea. I laureati della classe devono raggiungere le competenze previste dallo specifico profilo professionale.</w:t>
      </w:r>
    </w:p>
    <w:p w14:paraId="5FED09FC" w14:textId="77777777" w:rsidR="002B5CA9" w:rsidRPr="00226489" w:rsidRDefault="002B5CA9" w:rsidP="00AF3662">
      <w:pPr>
        <w:jc w:val="both"/>
      </w:pPr>
      <w:r w:rsidRPr="00226489">
        <w:t xml:space="preserve">Le conoscenze fisiopatologiche e cliniche di medicina generale </w:t>
      </w:r>
      <w:proofErr w:type="gramStart"/>
      <w:r w:rsidRPr="00226489">
        <w:t>ed</w:t>
      </w:r>
      <w:proofErr w:type="gramEnd"/>
      <w:r w:rsidRPr="00226489">
        <w:t xml:space="preserve"> odontostomatologiche e le attività pratiche di tipo clinico acquisite con le attività formative comprese nel piano didattico determinano e definiscono il profilo professionale dell'odontoiatra che opera nei Paesi dell'Unione Europea.</w:t>
      </w:r>
    </w:p>
    <w:p w14:paraId="23A4FF76" w14:textId="452CEF64" w:rsidR="002B5CA9" w:rsidRPr="00226489" w:rsidRDefault="002B5CA9" w:rsidP="00AF3662">
      <w:pPr>
        <w:jc w:val="both"/>
      </w:pPr>
      <w:r w:rsidRPr="00226489">
        <w:t>I laureati magistrali della classe dovranno essere in grado di utilizzare fluentemente, in forma scritta e orale, almeno una lingua dell’Unione Europea oltre l’italiano, con riferimento anche ai lessici disciplinari</w:t>
      </w:r>
      <w:r w:rsidR="006D7761">
        <w:t>.</w:t>
      </w:r>
    </w:p>
    <w:p w14:paraId="0BE90F76" w14:textId="77777777" w:rsidR="002B5CA9" w:rsidRPr="00226489" w:rsidRDefault="002B5CA9" w:rsidP="00AF3662">
      <w:pPr>
        <w:jc w:val="both"/>
      </w:pPr>
      <w:r w:rsidRPr="00226489">
        <w:lastRenderedPageBreak/>
        <w:t xml:space="preserve">Specifico rilievo, come parte integrante e qualificante della formazione professionale, riveste l’attività formativa professionalizzante di TPV prodromico al conseguimento del titolo accademico abilitante. Nell’ambito dei 90 CFU da conseguire nell’intero percorso formativo e destinati all’attività formativa professionalizzante, 30 CFU sono destinati allo svolgimento del TPV interno al corso di studio, che prevede lo svolgimento, come primo operatore, di attività pratiche in ambito preventivo, diagnostico e terapeutico delle malattie odontostomatologiche, relative alle discipline di chirurgia orale, odontoiatria restaurativa, endodonzia, implantologia, patologia e medicina orale, odontoiatria pediatrica, odontoiatria speciale, ortognatodonzia, parodontologia e protesi, come disciplinato nelle modalità da apposito protocollo redatto dalla Conferenza permanente dei presidenti dei corsi di laurea in Odontoiatria e protesi dentaria, d’intesa con la Commissione Albo odontoiatri nazionale. </w:t>
      </w:r>
    </w:p>
    <w:p w14:paraId="0702E12F" w14:textId="61ED5662" w:rsidR="002B5CA9" w:rsidRPr="00226489" w:rsidRDefault="002B5CA9" w:rsidP="00AF3662">
      <w:pPr>
        <w:jc w:val="both"/>
      </w:pPr>
      <w:r w:rsidRPr="00226489">
        <w:t>Ad ogni CFU pari a 25 ore riservato al TPV corrispondono almeno 20 ore di attività formative professionalizzanti come primo operatore; le eventuali restanti 5 ore possono essere dedicate allo studio individuale o ad altre attività formative professionalizzanti.</w:t>
      </w:r>
    </w:p>
    <w:bookmarkEnd w:id="2"/>
    <w:p w14:paraId="4F512B21" w14:textId="77777777" w:rsidR="005F65AB" w:rsidRPr="00226489" w:rsidRDefault="002B5CA9" w:rsidP="00AF3662">
      <w:pPr>
        <w:jc w:val="both"/>
      </w:pPr>
      <w:r w:rsidRPr="00226489">
        <w:t xml:space="preserve">STRUTTURA DEL PERCORSO DI STUDIO. </w:t>
      </w:r>
    </w:p>
    <w:p w14:paraId="14858E36" w14:textId="5BE3DAE3" w:rsidR="002B5CA9" w:rsidRPr="00226489" w:rsidRDefault="002B5CA9" w:rsidP="00AF3662">
      <w:pPr>
        <w:jc w:val="both"/>
      </w:pPr>
      <w:r w:rsidRPr="00226489">
        <w:t>Negli aspetti generali, il biennio è indirizzato allo studio di attività formative di base mirate a fare conoscere allo studente i fondamenti dell'organizzazione strutturale e delle funzioni vitali del corpo umano e comprende corsi che affrontano problematiche legate al rapporto medico-paziente e alla comprensione dei principi che sono alla base della metodologia scientifica. Lo studente apprende il metodo per affrontare il paziente con problematica oro-dentale.</w:t>
      </w:r>
    </w:p>
    <w:p w14:paraId="62AD61B1" w14:textId="77777777" w:rsidR="002B5CA9" w:rsidRPr="00226489" w:rsidRDefault="002B5CA9" w:rsidP="00AF3662">
      <w:pPr>
        <w:jc w:val="both"/>
      </w:pPr>
      <w:r w:rsidRPr="00226489">
        <w:t>Il successivo triennio prevede lo studio di discipline di interesse medico, chirurgico e specialistico con particolare riferimento alle problematiche cliniche correlate alle patologie odontostomatologiche. Queste attività formative si svolgono contestualmente allo studio delle discipline odontoiatriche ed al tirocinio clinico professionalizzante. Acquisite durante il primo biennio le conoscenze sui grandi sistemi e compresi i principi eziopatogenetici alla base delle alterazioni organiche, funzionali ed omeostatiche, si valutano i quadri anatomopatologici delle affezioni più comuni e si introducono i principi generali delle scienze farmacologiche ed anestesiologiche.</w:t>
      </w:r>
    </w:p>
    <w:p w14:paraId="3089A65B" w14:textId="6824B54C" w:rsidR="002B5CA9" w:rsidRPr="00226489" w:rsidRDefault="002B5CA9" w:rsidP="00AF3662">
      <w:pPr>
        <w:jc w:val="both"/>
      </w:pPr>
      <w:r w:rsidRPr="00226489">
        <w:t xml:space="preserve">I corsi </w:t>
      </w:r>
      <w:r w:rsidR="005F65AB" w:rsidRPr="00226489">
        <w:t xml:space="preserve">integrati afferenti alle </w:t>
      </w:r>
      <w:r w:rsidRPr="00226489">
        <w:t>discipline odontostomatologiche affrontano le tematiche della prevenzione, patologia orale, odontoiatria restaurativa, chirurgia orale, gnatologia, parodontologia, ortodonzia, odontoiatria pediatrica e protesi</w:t>
      </w:r>
      <w:r w:rsidR="005F65AB" w:rsidRPr="00226489">
        <w:t xml:space="preserve"> e </w:t>
      </w:r>
      <w:r w:rsidRPr="00226489">
        <w:t xml:space="preserve">perseguono l'obiettivo comune di maturare conoscenze, abilità ed competenze per affrontare e risolvere i problemi di salute orale dal punto di vista preventivo, diagnostico, prognostico, terapeutico e riabilitativo, anche nel rispetto delle norme medico legali ed etiche vigenti nei paesi dell'Unione Europea. Nel quinto anno vengono introdotti un corso di patologia e terapia </w:t>
      </w:r>
      <w:r w:rsidR="005F65AB" w:rsidRPr="00226489">
        <w:t xml:space="preserve">del distretto </w:t>
      </w:r>
      <w:r w:rsidRPr="00226489">
        <w:t xml:space="preserve">maxillo-facciale ed un corso </w:t>
      </w:r>
      <w:r w:rsidR="005F65AB" w:rsidRPr="00226489">
        <w:t>inerente l’</w:t>
      </w:r>
      <w:r w:rsidRPr="00226489">
        <w:t xml:space="preserve">implantologia </w:t>
      </w:r>
      <w:r w:rsidR="005F65AB" w:rsidRPr="00226489">
        <w:t xml:space="preserve">e la chirurgia riabilitativa dei mascellari </w:t>
      </w:r>
      <w:r w:rsidRPr="00226489">
        <w:t>ai quali, come ai precedenti, viene data un'impostazione globale del trattamento del paziente con lezioni teoriche e tirocini clinici.</w:t>
      </w:r>
    </w:p>
    <w:p w14:paraId="2BBFCFD8" w14:textId="1EBA2CA8" w:rsidR="002B5CA9" w:rsidRPr="00226489" w:rsidRDefault="002B5CA9" w:rsidP="00AF3662">
      <w:pPr>
        <w:jc w:val="both"/>
      </w:pPr>
      <w:r w:rsidRPr="00226489">
        <w:t xml:space="preserve">Il sesto anno prevede una attività didattica </w:t>
      </w:r>
      <w:r w:rsidR="005F65AB" w:rsidRPr="00226489">
        <w:t xml:space="preserve">quasi </w:t>
      </w:r>
      <w:r w:rsidRPr="00226489">
        <w:t xml:space="preserve">esclusivamente professionalizzante finalizzata all’acquisizione delle competenze di cura del paziente con problematiche odontostomatologiche. Le sessioni cliniche e di didattica frontale ad impostazione seminariale di </w:t>
      </w:r>
      <w:proofErr w:type="spellStart"/>
      <w:r w:rsidRPr="00226489">
        <w:t>problem</w:t>
      </w:r>
      <w:proofErr w:type="spellEnd"/>
      <w:r w:rsidRPr="00226489">
        <w:t>-solving (patologia speciale odontostomatologica, odontoiatria preventiva e di comunità, odontoiatria conservativa ed endodonzia, chirurgia orale, parodontologia, ortodonzia, gnatologia, clinica odontostomatologica, odontoiatra pediatrica e riabilitazione protesica) proseguono ed integrano le competenze maturate nelle diverse aree cliniche nei precedenti anni, enfatizzando anche le relazioni fra patologia sistemica e cavo orale. Il Consiglio della struttura didattica</w:t>
      </w:r>
      <w:r w:rsidR="005F65AB" w:rsidRPr="00226489">
        <w:t xml:space="preserve"> </w:t>
      </w:r>
      <w:r w:rsidRPr="00226489">
        <w:t>determina l'articolazione dei corsi, i relativi CFU</w:t>
      </w:r>
      <w:r w:rsidR="005F65AB" w:rsidRPr="00226489">
        <w:t xml:space="preserve"> </w:t>
      </w:r>
      <w:r w:rsidRPr="00226489">
        <w:t>e gli obiettivi dell'apprendimento</w:t>
      </w:r>
      <w:r w:rsidR="005F65AB" w:rsidRPr="00226489">
        <w:t xml:space="preserve"> </w:t>
      </w:r>
      <w:r w:rsidRPr="00226489">
        <w:t>specifici di ogni corso e la tipologia delle verifiche di profitto per l'acquisizione dei CFU corrispondenti.</w:t>
      </w:r>
    </w:p>
    <w:p w14:paraId="789562B0" w14:textId="7BF64D22" w:rsidR="002B5CA9" w:rsidRPr="00226489" w:rsidRDefault="005F65AB" w:rsidP="00AF3662">
      <w:pPr>
        <w:jc w:val="both"/>
      </w:pPr>
      <w:r w:rsidRPr="00226489">
        <w:lastRenderedPageBreak/>
        <w:t xml:space="preserve">È </w:t>
      </w:r>
      <w:r w:rsidR="002B5CA9" w:rsidRPr="00226489">
        <w:t xml:space="preserve">inoltre prevista un’offerta di attività </w:t>
      </w:r>
      <w:r w:rsidRPr="00226489">
        <w:t>didattiche vocazionali</w:t>
      </w:r>
      <w:r w:rsidR="002B5CA9" w:rsidRPr="00226489">
        <w:t xml:space="preserve"> e affini o integrative per consentire agli studenti di personalizzare il percorso formativo secondo le proprie inclinazioni e per incentivare l’approccio interdisciplinare.</w:t>
      </w:r>
    </w:p>
    <w:p w14:paraId="0928DE00" w14:textId="4986E8E9" w:rsidR="00650270" w:rsidRPr="00226489" w:rsidRDefault="00650270" w:rsidP="00AF3662">
      <w:pPr>
        <w:jc w:val="both"/>
        <w:rPr>
          <w:b/>
          <w:bCs/>
        </w:rPr>
      </w:pPr>
      <w:bookmarkStart w:id="3" w:name="_Hlk215435721"/>
      <w:r w:rsidRPr="00226489">
        <w:rPr>
          <w:b/>
          <w:bCs/>
          <w:highlight w:val="yellow"/>
          <w:u w:val="single"/>
        </w:rPr>
        <w:t>QUADRO A4.b.1 – Conoscenza e comprensione, e Capacità di applicare conoscenza e</w:t>
      </w:r>
      <w:r w:rsidRPr="00226489">
        <w:rPr>
          <w:b/>
          <w:bCs/>
          <w:highlight w:val="yellow"/>
        </w:rPr>
        <w:t xml:space="preserve"> comprensione: Sintesi</w:t>
      </w:r>
      <w:r w:rsidR="00226489" w:rsidRPr="00226489">
        <w:rPr>
          <w:b/>
          <w:bCs/>
          <w:highlight w:val="yellow"/>
        </w:rPr>
        <w:t xml:space="preserve"> (VERIFICARE SE CARICATO CORRETTAMENTE SU PAGINA CINECA)</w:t>
      </w:r>
    </w:p>
    <w:p w14:paraId="7FD94923" w14:textId="47F4A0E9" w:rsidR="00650270" w:rsidRPr="00226489" w:rsidRDefault="00650270" w:rsidP="00AF3662">
      <w:pPr>
        <w:jc w:val="both"/>
        <w:rPr>
          <w:u w:val="single"/>
        </w:rPr>
      </w:pPr>
      <w:r w:rsidRPr="00226489">
        <w:rPr>
          <w:u w:val="single"/>
        </w:rPr>
        <w:t>Conoscenza e capacità di comprensione</w:t>
      </w:r>
    </w:p>
    <w:p w14:paraId="4DD7CB2F" w14:textId="77777777" w:rsidR="00650270" w:rsidRPr="00226489" w:rsidRDefault="00650270" w:rsidP="00AF3662">
      <w:pPr>
        <w:jc w:val="both"/>
      </w:pPr>
      <w:r w:rsidRPr="00226489">
        <w:t>La laureata/il laureato magistrale in Odontoiatria e Protesi Dentaria deve avere conoscenze della base biomedica, tecnica e di scienze cliniche sufficienti per comprendere le condizioni normali e patologiche rilevanti per l'odontoiatria e deve avere capacità di comprensione dell’importanza di queste informazioni nelle situazioni clinico-professionali.</w:t>
      </w:r>
    </w:p>
    <w:p w14:paraId="6A9AB37F" w14:textId="0ECDEBFB" w:rsidR="00650270" w:rsidRPr="00226489" w:rsidRDefault="00650270" w:rsidP="00AF3662">
      <w:pPr>
        <w:jc w:val="both"/>
      </w:pPr>
      <w:r w:rsidRPr="00226489">
        <w:t>In particolare, tali capacità si esplicano nei seguenti domini:</w:t>
      </w:r>
    </w:p>
    <w:p w14:paraId="056E028C" w14:textId="77777777" w:rsidR="00B94B72" w:rsidRPr="00226489" w:rsidRDefault="00B94B72" w:rsidP="00B94B72">
      <w:pPr>
        <w:jc w:val="both"/>
      </w:pPr>
      <w:r w:rsidRPr="00226489">
        <w:t>- nozioni fondamentali e metodologia di fisica e statistica utili per identificare, comprendere ed interpretare i fenomeni biomedici;</w:t>
      </w:r>
    </w:p>
    <w:p w14:paraId="4BE4FEC8" w14:textId="0AB27A43" w:rsidR="00650270" w:rsidRPr="00226489" w:rsidRDefault="00650270" w:rsidP="00AF3662">
      <w:pPr>
        <w:jc w:val="both"/>
      </w:pPr>
      <w:r w:rsidRPr="00226489">
        <w:t>- conoscenza di base dei fenomeni biologici, anche a livello molecolare, per la comprensione dello studio dell’apparato stomatognatico e delle moderne tecniche di mantenimento dello stato di salute orale;</w:t>
      </w:r>
    </w:p>
    <w:p w14:paraId="2B0F0ADC" w14:textId="77777777" w:rsidR="00650270" w:rsidRPr="00226489" w:rsidRDefault="00650270" w:rsidP="00AF3662">
      <w:pPr>
        <w:jc w:val="both"/>
      </w:pPr>
      <w:r w:rsidRPr="00226489">
        <w:t>- principi di analisi del comportamento della persona, finalizzata alla comunicazione professionale e ad indirizzi terapeutici preventivi e riabilitativi;</w:t>
      </w:r>
    </w:p>
    <w:p w14:paraId="7B206958" w14:textId="77777777" w:rsidR="00650270" w:rsidRPr="00226489" w:rsidRDefault="00650270" w:rsidP="00AF3662">
      <w:pPr>
        <w:jc w:val="both"/>
      </w:pPr>
      <w:r w:rsidRPr="00226489">
        <w:t>- approccio integrato al paziente, alla fisiologia e alle patologie, sotto il profilo nosografico, eziopatogenetico, fisiopatologico, microbiologico, clinico o clinico-specialistico odontostomatologico, nel contesto di una visione unitaria e globale della malattia;</w:t>
      </w:r>
    </w:p>
    <w:p w14:paraId="2576437D" w14:textId="77777777" w:rsidR="00650270" w:rsidRPr="00226489" w:rsidRDefault="00650270" w:rsidP="00AF3662">
      <w:pPr>
        <w:jc w:val="both"/>
      </w:pPr>
      <w:r w:rsidRPr="00226489">
        <w:t xml:space="preserve">- fondamenti delle principali metodiche di laboratorio applicabili allo studio qualitativo e quantitativo dei determinanti patogenetici e dei processi biologici significativi, ai fini della diagnosi e della prognosi in odontoiatria, secondo i principi della </w:t>
      </w:r>
      <w:proofErr w:type="spellStart"/>
      <w:r w:rsidRPr="00226489">
        <w:t>evidence</w:t>
      </w:r>
      <w:proofErr w:type="spellEnd"/>
      <w:r w:rsidRPr="00226489">
        <w:t xml:space="preserve"> </w:t>
      </w:r>
      <w:proofErr w:type="spellStart"/>
      <w:r w:rsidRPr="00226489">
        <w:t>based</w:t>
      </w:r>
      <w:proofErr w:type="spellEnd"/>
      <w:r w:rsidRPr="00226489">
        <w:t xml:space="preserve"> </w:t>
      </w:r>
      <w:proofErr w:type="spellStart"/>
      <w:r w:rsidRPr="00226489">
        <w:t>dentistry</w:t>
      </w:r>
      <w:proofErr w:type="spellEnd"/>
      <w:r w:rsidRPr="00226489">
        <w:t>;</w:t>
      </w:r>
    </w:p>
    <w:p w14:paraId="4507E941" w14:textId="77777777" w:rsidR="00650270" w:rsidRPr="00226489" w:rsidRDefault="00650270" w:rsidP="00AF3662">
      <w:pPr>
        <w:jc w:val="both"/>
      </w:pPr>
      <w:r w:rsidRPr="00226489">
        <w:t>- principi della medicina traslazionale e delle biotecnologie avanzate per la prognosi, la diagnosi e le terapie delle malattie odontostomatologiche, approccio di medicina personalizzata e uso clinico dei materiali biologici o biocompatibili;</w:t>
      </w:r>
    </w:p>
    <w:p w14:paraId="5B8C2A18" w14:textId="77777777" w:rsidR="00650270" w:rsidRPr="00226489" w:rsidRDefault="00650270" w:rsidP="00AF3662">
      <w:pPr>
        <w:jc w:val="both"/>
      </w:pPr>
      <w:r w:rsidRPr="00226489">
        <w:t>- organizzazione morfo-funzionale in condizioni normali del corpo umano e in particolare dell’apparato stomatognatico, ai fini del mantenimento dello stato di salute della persona sana e della comprensione delle modificazioni patologiche con la doverosa attenzione alle differenze individuali e di popolazione, di genere, anche nella dimensione temporale che va dallo sviluppo embrionale, alla organogenesi, alla crescita somatica ed all’invecchiamento;</w:t>
      </w:r>
    </w:p>
    <w:p w14:paraId="2B37BF80" w14:textId="77777777" w:rsidR="00650270" w:rsidRPr="00226489" w:rsidRDefault="00650270" w:rsidP="00AF3662">
      <w:pPr>
        <w:jc w:val="both"/>
      </w:pPr>
      <w:r w:rsidRPr="00226489">
        <w:t>- esame del paziente e diagnosi: rilevare una corretta anamnesi, compresa l'anamnesi medica, condurre l'esame obiettivo del cavo orale, riconoscere condizioni diverse dalla normalità, diagnosticare patologie dentali e orali, formulare un piano di trattamento globale ed eseguire la terapia appropriate o indirizzare il paziente ad altra competenza quando necessario;</w:t>
      </w:r>
    </w:p>
    <w:p w14:paraId="14BA50BE" w14:textId="77777777" w:rsidR="00650270" w:rsidRPr="00226489" w:rsidRDefault="00650270" w:rsidP="00AF3662">
      <w:pPr>
        <w:jc w:val="both"/>
      </w:pPr>
      <w:r w:rsidRPr="00226489">
        <w:t>- diagnosi e terapia delle patologie del distretto oro-maxillo-facciale includenti anche le articolazioni temporo-mandibolari;</w:t>
      </w:r>
    </w:p>
    <w:p w14:paraId="4AB84830" w14:textId="77777777" w:rsidR="00650270" w:rsidRPr="00226489" w:rsidRDefault="00650270" w:rsidP="00AF3662">
      <w:pPr>
        <w:jc w:val="both"/>
      </w:pPr>
      <w:r w:rsidRPr="00226489">
        <w:t>- riconoscimento e gestione corretta delle manifestazioni orali di patologie sistemiche e/o riferimento del paziente ad altra competenza</w:t>
      </w:r>
    </w:p>
    <w:p w14:paraId="1AB63800" w14:textId="77777777" w:rsidR="00650270" w:rsidRPr="00226489" w:rsidRDefault="00650270" w:rsidP="00AF3662">
      <w:pPr>
        <w:jc w:val="both"/>
      </w:pPr>
      <w:r w:rsidRPr="00226489">
        <w:lastRenderedPageBreak/>
        <w:t>- valutazione della salute generale del paziente e delle relazioni fra patologia sistemica e cavo orale e modulazione del piano di trattamento odontoiatrico in relazione alla patologia sistemica e alle caratteristiche individuali (età/genere) e di popolazione;</w:t>
      </w:r>
    </w:p>
    <w:p w14:paraId="5B8F1451" w14:textId="77777777" w:rsidR="00650270" w:rsidRPr="00226489" w:rsidRDefault="00650270" w:rsidP="00AF3662">
      <w:pPr>
        <w:jc w:val="both"/>
      </w:pPr>
      <w:r w:rsidRPr="00226489">
        <w:t>- diagnosi delle patologie orali e delle anomalie di sviluppo secondo le classificazioni accettate dalla comunità internazionale;</w:t>
      </w:r>
    </w:p>
    <w:p w14:paraId="1B0B49BC" w14:textId="77777777" w:rsidR="00650270" w:rsidRPr="00226489" w:rsidRDefault="00650270" w:rsidP="00AF3662">
      <w:pPr>
        <w:jc w:val="both"/>
      </w:pPr>
      <w:r w:rsidRPr="00226489">
        <w:t>- diagnosi e gestione clinica del dolore dentale, oro-facciale e cranio-mandibolare o riferimento del paziente ad altra competenza;</w:t>
      </w:r>
    </w:p>
    <w:p w14:paraId="1B1870C4" w14:textId="77777777" w:rsidR="00650270" w:rsidRPr="00226489" w:rsidRDefault="00650270" w:rsidP="00AF3662">
      <w:pPr>
        <w:jc w:val="both"/>
      </w:pPr>
      <w:r w:rsidRPr="00226489">
        <w:t>- screening, diagnosi e gestione delle patologie orali e dentali, comprese le neoplasie maligne, delle patologie mucose e ossee o riferimento del paziente ad altra competenza;</w:t>
      </w:r>
    </w:p>
    <w:p w14:paraId="13AABCEA" w14:textId="77777777" w:rsidR="00650270" w:rsidRPr="00226489" w:rsidRDefault="00650270" w:rsidP="00AF3662">
      <w:pPr>
        <w:jc w:val="both"/>
      </w:pPr>
      <w:r w:rsidRPr="00226489">
        <w:t>- esecuzione di esami radiografici dentali con le tecniche di routine;</w:t>
      </w:r>
    </w:p>
    <w:p w14:paraId="181E08D8" w14:textId="77777777" w:rsidR="00650270" w:rsidRPr="00226489" w:rsidRDefault="00650270" w:rsidP="00AF3662">
      <w:pPr>
        <w:jc w:val="both"/>
      </w:pPr>
      <w:r w:rsidRPr="00226489">
        <w:t>- riconoscimento dei segni radiologici di deviazione dalla norma;</w:t>
      </w:r>
    </w:p>
    <w:p w14:paraId="534603E9" w14:textId="77777777" w:rsidR="00650270" w:rsidRPr="00226489" w:rsidRDefault="00650270" w:rsidP="00AF3662">
      <w:pPr>
        <w:jc w:val="both"/>
      </w:pPr>
      <w:r w:rsidRPr="00226489">
        <w:t>- principi di radioprotezione;</w:t>
      </w:r>
    </w:p>
    <w:p w14:paraId="4010D963" w14:textId="77777777" w:rsidR="00650270" w:rsidRPr="00226489" w:rsidRDefault="00650270" w:rsidP="00AF3662">
      <w:pPr>
        <w:jc w:val="both"/>
      </w:pPr>
      <w:r w:rsidRPr="00226489">
        <w:t>- rimozione dei depositi duri e molli che si accumulano sulle superfici dei denti e levigatura delle superfici radicolari;</w:t>
      </w:r>
    </w:p>
    <w:p w14:paraId="61707957" w14:textId="77777777" w:rsidR="00650270" w:rsidRPr="00226489" w:rsidRDefault="00650270" w:rsidP="00AF3662">
      <w:pPr>
        <w:jc w:val="both"/>
      </w:pPr>
      <w:r w:rsidRPr="00226489">
        <w:t>- incisione, scollamento e riposizionamento di un lembo mucoso, nell'ambito di interventi di chirurgia orale;</w:t>
      </w:r>
    </w:p>
    <w:p w14:paraId="32EBD84C" w14:textId="77777777" w:rsidR="00650270" w:rsidRPr="00226489" w:rsidRDefault="00650270" w:rsidP="00AF3662">
      <w:pPr>
        <w:jc w:val="both"/>
      </w:pPr>
      <w:r w:rsidRPr="00226489">
        <w:t xml:space="preserve">- trattamenti endodontici su monoradicolati e </w:t>
      </w:r>
      <w:proofErr w:type="spellStart"/>
      <w:r w:rsidRPr="00226489">
        <w:t>poliradicolati</w:t>
      </w:r>
      <w:proofErr w:type="spellEnd"/>
      <w:r w:rsidRPr="00226489">
        <w:t>;</w:t>
      </w:r>
    </w:p>
    <w:p w14:paraId="1CD59F59" w14:textId="77777777" w:rsidR="00650270" w:rsidRPr="00226489" w:rsidRDefault="00650270" w:rsidP="00AF3662">
      <w:pPr>
        <w:jc w:val="both"/>
      </w:pPr>
      <w:r w:rsidRPr="00226489">
        <w:t xml:space="preserve">- interventi di chirurgia </w:t>
      </w:r>
      <w:proofErr w:type="spellStart"/>
      <w:r w:rsidRPr="00226489">
        <w:t>periapicale</w:t>
      </w:r>
      <w:proofErr w:type="spellEnd"/>
      <w:r w:rsidRPr="00226489">
        <w:t xml:space="preserve"> in patologie dell'apice e del </w:t>
      </w:r>
      <w:proofErr w:type="spellStart"/>
      <w:r w:rsidRPr="00226489">
        <w:t>periapice</w:t>
      </w:r>
      <w:proofErr w:type="spellEnd"/>
      <w:r w:rsidRPr="00226489">
        <w:t>;</w:t>
      </w:r>
    </w:p>
    <w:p w14:paraId="4A4ED49A" w14:textId="77777777" w:rsidR="00650270" w:rsidRPr="00226489" w:rsidRDefault="00650270" w:rsidP="00AF3662">
      <w:pPr>
        <w:jc w:val="both"/>
      </w:pPr>
      <w:r w:rsidRPr="00226489">
        <w:t xml:space="preserve">- </w:t>
      </w:r>
      <w:proofErr w:type="spellStart"/>
      <w:r w:rsidRPr="00226489">
        <w:t>exodontia</w:t>
      </w:r>
      <w:proofErr w:type="spellEnd"/>
      <w:r w:rsidRPr="00226489">
        <w:t xml:space="preserve"> di routine;</w:t>
      </w:r>
    </w:p>
    <w:p w14:paraId="4D3EE56C" w14:textId="77777777" w:rsidR="00650270" w:rsidRPr="00226489" w:rsidRDefault="00650270" w:rsidP="00AF3662">
      <w:pPr>
        <w:jc w:val="both"/>
      </w:pPr>
      <w:r w:rsidRPr="00226489">
        <w:t xml:space="preserve">- avulsione chirurgica di radici e denti inclusi, </w:t>
      </w:r>
      <w:proofErr w:type="spellStart"/>
      <w:r w:rsidRPr="00226489">
        <w:t>rizectomie</w:t>
      </w:r>
      <w:proofErr w:type="spellEnd"/>
      <w:r w:rsidRPr="00226489">
        <w:t>;</w:t>
      </w:r>
    </w:p>
    <w:p w14:paraId="00F43309" w14:textId="77777777" w:rsidR="00650270" w:rsidRPr="00226489" w:rsidRDefault="00650270" w:rsidP="00AF3662">
      <w:pPr>
        <w:jc w:val="both"/>
      </w:pPr>
      <w:r w:rsidRPr="00226489">
        <w:t xml:space="preserve">- biopsie </w:t>
      </w:r>
      <w:proofErr w:type="spellStart"/>
      <w:r w:rsidRPr="00226489">
        <w:t>incisionali</w:t>
      </w:r>
      <w:proofErr w:type="spellEnd"/>
      <w:r w:rsidRPr="00226489">
        <w:t xml:space="preserve"> ed </w:t>
      </w:r>
      <w:proofErr w:type="spellStart"/>
      <w:r w:rsidRPr="00226489">
        <w:t>escissionali</w:t>
      </w:r>
      <w:proofErr w:type="spellEnd"/>
      <w:r w:rsidRPr="00226489">
        <w:t>;</w:t>
      </w:r>
    </w:p>
    <w:p w14:paraId="335688BB" w14:textId="0F5028AE" w:rsidR="00650270" w:rsidRPr="00226489" w:rsidRDefault="00650270" w:rsidP="00AF3662">
      <w:pPr>
        <w:jc w:val="both"/>
      </w:pPr>
      <w:r w:rsidRPr="00226489">
        <w:t>- riabilitazione funzionale della capacità masticatoria ed estetica con protesi fisse o rimovibili (complete o parziali)</w:t>
      </w:r>
      <w:r w:rsidR="00221835" w:rsidRPr="00226489">
        <w:t xml:space="preserve"> o altre procedure mediche non invasive</w:t>
      </w:r>
      <w:r w:rsidRPr="00226489">
        <w:t>;</w:t>
      </w:r>
    </w:p>
    <w:p w14:paraId="19C84B13" w14:textId="77777777" w:rsidR="00650270" w:rsidRPr="00226489" w:rsidRDefault="00650270" w:rsidP="00AF3662">
      <w:pPr>
        <w:jc w:val="both"/>
      </w:pPr>
      <w:r w:rsidRPr="00226489">
        <w:t>- indicazioni alla terapia implantare, effettuazione o riferimento del paziente ad altra competenza;</w:t>
      </w:r>
    </w:p>
    <w:p w14:paraId="33F4CE6A" w14:textId="77777777" w:rsidR="00650270" w:rsidRPr="00226489" w:rsidRDefault="00650270" w:rsidP="00AF3662">
      <w:pPr>
        <w:jc w:val="both"/>
      </w:pPr>
      <w:r w:rsidRPr="00226489">
        <w:t>- restauro dell’anatomia funzionale dei denti utilizzando tutti i materiali disponibili e accettati dalla comunità scientifica;</w:t>
      </w:r>
    </w:p>
    <w:p w14:paraId="519F84AC" w14:textId="77777777" w:rsidR="00650270" w:rsidRPr="00226489" w:rsidRDefault="00650270" w:rsidP="00AF3662">
      <w:pPr>
        <w:jc w:val="both"/>
      </w:pPr>
      <w:r w:rsidRPr="00226489">
        <w:t>- correzioni ortodontiche di problemi occlusali minori riconoscendo l'opportunità di indirizzare il paziente ad altre competenze in presenza di patologie più complesse;</w:t>
      </w:r>
    </w:p>
    <w:p w14:paraId="6FB1999A" w14:textId="77777777" w:rsidR="00650270" w:rsidRPr="00226489" w:rsidRDefault="00650270" w:rsidP="00AF3662">
      <w:pPr>
        <w:jc w:val="both"/>
      </w:pPr>
      <w:r w:rsidRPr="00226489">
        <w:t>- conoscenza dei meccanismi molecolari e cellulari di azione delle diverse classi di farmaci, relativi impieghi terapeutici e criteri di definizione degli schemi terapeutici, anche tenuto conto dei principi della farmacodinamica, della farmacocinetica e della variabilità di risposta in rapporto a fattori di genere, genetici e fisiopatologici e delle interazioni farmacologiche;</w:t>
      </w:r>
    </w:p>
    <w:p w14:paraId="0B5EACAC" w14:textId="77777777" w:rsidR="00650270" w:rsidRPr="00226489" w:rsidRDefault="00650270" w:rsidP="00AF3662">
      <w:pPr>
        <w:jc w:val="both"/>
      </w:pPr>
      <w:r w:rsidRPr="00226489">
        <w:t>- principi e metodi della farmacologia clinica, compresa la farmacosorveglianza e la farmacoepidemiologia, ed effetti collaterali e tossicità di farmaci e di sostanze d'abuso;</w:t>
      </w:r>
    </w:p>
    <w:p w14:paraId="4A13028C" w14:textId="77777777" w:rsidR="00650270" w:rsidRPr="00226489" w:rsidRDefault="00650270" w:rsidP="00AF3662">
      <w:pPr>
        <w:jc w:val="both"/>
      </w:pPr>
      <w:r w:rsidRPr="00226489">
        <w:t>- conoscenza approfondita dei farmaci direttamente e indirettamente correlati con la pratica dell'odontoiatria e comprensione delle implicazioni della terapia farmacologica di patologie sistemiche riguardanti le terapie odontoiatriche;</w:t>
      </w:r>
    </w:p>
    <w:p w14:paraId="56559A50" w14:textId="77777777" w:rsidR="00650270" w:rsidRPr="00226489" w:rsidRDefault="00650270" w:rsidP="00AF3662">
      <w:pPr>
        <w:jc w:val="both"/>
      </w:pPr>
      <w:r w:rsidRPr="00226489">
        <w:lastRenderedPageBreak/>
        <w:t>- conoscenza e applicazione della gamma completa di tecniche di controllo dell'ansia e del dolore connessi ai trattamenti odontoiatrici (nei limiti consentiti all'odontoiatra);</w:t>
      </w:r>
    </w:p>
    <w:p w14:paraId="2D0DC6A8" w14:textId="77777777" w:rsidR="00650270" w:rsidRPr="00226489" w:rsidRDefault="00650270" w:rsidP="00AF3662">
      <w:pPr>
        <w:jc w:val="both"/>
      </w:pPr>
      <w:r w:rsidRPr="00226489">
        <w:t xml:space="preserve">- basi scientifiche e tecnologiche ed opportunità delle moderne tecnologie di </w:t>
      </w:r>
      <w:proofErr w:type="spellStart"/>
      <w:r w:rsidRPr="00226489">
        <w:t>drug</w:t>
      </w:r>
      <w:proofErr w:type="spellEnd"/>
      <w:r w:rsidRPr="00226489">
        <w:t xml:space="preserve"> delivery controllato e delle terapie avanzate in odontoiatria;</w:t>
      </w:r>
    </w:p>
    <w:p w14:paraId="048ADB79" w14:textId="77777777" w:rsidR="00650270" w:rsidRPr="00226489" w:rsidRDefault="00650270" w:rsidP="00AF3662">
      <w:pPr>
        <w:jc w:val="both"/>
      </w:pPr>
      <w:r w:rsidRPr="00226489">
        <w:t>- situazioni cliniche di emergenza e urgenza, garantendo gli interventi di primo soccorso;</w:t>
      </w:r>
    </w:p>
    <w:p w14:paraId="5E126C86" w14:textId="77777777" w:rsidR="00650270" w:rsidRPr="00226489" w:rsidRDefault="00650270" w:rsidP="00AF3662">
      <w:pPr>
        <w:jc w:val="both"/>
      </w:pPr>
      <w:r w:rsidRPr="00226489">
        <w:t>- valutazione di dati epidemiologici e loro impiego ai fini della promozione della salute e della prevenzione delle malattie con particolare riguardo a quelle di interesse odontoiatrico nei singoli e nelle comunità;</w:t>
      </w:r>
    </w:p>
    <w:p w14:paraId="03DA3A08" w14:textId="77777777" w:rsidR="00650270" w:rsidRPr="00226489" w:rsidRDefault="00650270" w:rsidP="00AF3662">
      <w:pPr>
        <w:jc w:val="both"/>
      </w:pPr>
      <w:r w:rsidRPr="00226489">
        <w:t xml:space="preserve">- conoscenze e abilità teorico/pratiche relative alla </w:t>
      </w:r>
      <w:proofErr w:type="spellStart"/>
      <w:r w:rsidRPr="00226489">
        <w:t>preparedness</w:t>
      </w:r>
      <w:proofErr w:type="spellEnd"/>
      <w:r w:rsidRPr="00226489">
        <w:t>, alla medicina dei disastri e al quadro nazionale e internazionale di prevenzione e gestione delle pandemie e delle emergenze di sanità pubblica in ordine alle specificità del contesto specialistico;</w:t>
      </w:r>
    </w:p>
    <w:p w14:paraId="65F10737" w14:textId="77777777" w:rsidR="00650270" w:rsidRPr="00226489" w:rsidRDefault="00650270" w:rsidP="00AF3662">
      <w:pPr>
        <w:jc w:val="both"/>
      </w:pPr>
      <w:r w:rsidRPr="00226489">
        <w:t>- norme deontologiche e responsabilità professionale, valutando criticamente i principi etici che sottendono le scelte professionali;</w:t>
      </w:r>
    </w:p>
    <w:p w14:paraId="6AAEBFAA" w14:textId="77777777" w:rsidR="00650270" w:rsidRPr="00226489" w:rsidRDefault="00650270" w:rsidP="00AF3662">
      <w:pPr>
        <w:jc w:val="both"/>
      </w:pPr>
      <w:r w:rsidRPr="00226489">
        <w:t>- principali norme e modelli che regolano l'organizzazione sanitaria;</w:t>
      </w:r>
    </w:p>
    <w:p w14:paraId="4CFBD22C" w14:textId="77777777" w:rsidR="00650270" w:rsidRPr="00226489" w:rsidRDefault="00650270" w:rsidP="00AF3662">
      <w:pPr>
        <w:jc w:val="both"/>
      </w:pPr>
      <w:r w:rsidRPr="00226489">
        <w:t>- principi essenziali di economia sanitaria ai fini della applicazione nelle decisioni odontoiatriche con specifico riguardo al rapporto costo/beneficio delle procedure diagnostiche e terapeutiche, della continuità terapeutica ospedale-territorio e dell'appropriatezza organizzativa;</w:t>
      </w:r>
    </w:p>
    <w:p w14:paraId="73BAADA9" w14:textId="77777777" w:rsidR="00650270" w:rsidRPr="00226489" w:rsidRDefault="00650270" w:rsidP="00AF3662">
      <w:pPr>
        <w:jc w:val="both"/>
      </w:pPr>
      <w:r w:rsidRPr="00226489">
        <w:t>- odontoiatria di comunità e della popolazione in un contesto nazionale e globale;</w:t>
      </w:r>
    </w:p>
    <w:p w14:paraId="5BA517C4" w14:textId="77777777" w:rsidR="00650270" w:rsidRPr="00226489" w:rsidRDefault="00650270" w:rsidP="00AF3662">
      <w:pPr>
        <w:jc w:val="both"/>
      </w:pPr>
      <w:r w:rsidRPr="00226489">
        <w:t>- principi di bioetica nella professione sanitaria;</w:t>
      </w:r>
    </w:p>
    <w:p w14:paraId="678D9F48" w14:textId="77777777" w:rsidR="00650270" w:rsidRPr="00226489" w:rsidRDefault="00650270" w:rsidP="00AF3662">
      <w:pPr>
        <w:jc w:val="both"/>
      </w:pPr>
      <w:r w:rsidRPr="00226489">
        <w:t>- storia della medicina e della odontoiatria, con attenzione alla evoluzione storica dei valori epistemologici ed etici;</w:t>
      </w:r>
    </w:p>
    <w:p w14:paraId="3F246845" w14:textId="77777777" w:rsidR="00650270" w:rsidRPr="00226489" w:rsidRDefault="00650270" w:rsidP="00AF3662">
      <w:pPr>
        <w:jc w:val="both"/>
      </w:pPr>
      <w:r w:rsidRPr="00226489">
        <w:t>- utilizzo appropriato di moderne metodologie orientate all'informazione, all'istruzione e all'educazione sanitaria;</w:t>
      </w:r>
    </w:p>
    <w:p w14:paraId="72C0F41B" w14:textId="77777777" w:rsidR="00650270" w:rsidRPr="00226489" w:rsidRDefault="00650270" w:rsidP="00AF3662">
      <w:pPr>
        <w:jc w:val="both"/>
      </w:pPr>
      <w:r w:rsidRPr="00226489">
        <w:t>- scienza dei biomateriali per quanto attiene la pratica dell'odontoiatria e le applicazioni delle tecnologie biomediche alla odontoiatria per sistemi e soluzioni innovative;</w:t>
      </w:r>
    </w:p>
    <w:p w14:paraId="6F61B63A" w14:textId="77777777" w:rsidR="00650270" w:rsidRPr="00226489" w:rsidRDefault="00650270" w:rsidP="00AF3662">
      <w:pPr>
        <w:jc w:val="both"/>
      </w:pPr>
      <w:r w:rsidRPr="00226489">
        <w:t>- principi di tecnologie e metodi analitici specifici per l'estrazione ed elaborazione avanzata dei dati per la ricerca clinica e gestione dei sistemi informativi di supporto alle varie tipologie di attività assistenziale nel rispetto delle norme relative al trattamento ed alla sicurezza dei dati sensibili dei pazienti.</w:t>
      </w:r>
    </w:p>
    <w:p w14:paraId="0A910AF9" w14:textId="6DB5DA31" w:rsidR="00650270" w:rsidRPr="00226489" w:rsidRDefault="00650270" w:rsidP="00AF3662">
      <w:pPr>
        <w:jc w:val="both"/>
      </w:pPr>
      <w:r w:rsidRPr="00226489">
        <w:t>MODALITÀ DI ACQUISIZIONE. La conoscenza e la capacità di comprensione vengono acquisite nel corso delle lezioni erogate per lo più con modalità tradizionale, con ausili audiovisivi, e-learning e con calendarizzazione delle lezioni coerente con i CFU programmati. Lo studente frequenta le attività didattiche frontali e non frontali, professionalizzanti ed elettive dei singoli insegnamenti del CLOPD, declinando l’acquisizione delle conoscenze e competenze coerentemente con gli obiettivi formativi specifici e con il percorso formativo del CdS.</w:t>
      </w:r>
    </w:p>
    <w:p w14:paraId="795EB823" w14:textId="7C2F8A50" w:rsidR="00650270" w:rsidRPr="00226489" w:rsidRDefault="00650270" w:rsidP="00AF3662">
      <w:pPr>
        <w:jc w:val="both"/>
      </w:pPr>
      <w:r w:rsidRPr="00226489">
        <w:t xml:space="preserve">MODALITÀ DI VERIFICA. La verifica e la valutazione delle conoscenze e competenze acquisite vengono effettuate con modalità indicate autonomamente dai docenti. Tali valutazioni possono prevedere prove scritte e orali, di laboratorio, valutazioni di progetti e test attitudinali, sia con valutazioni complessive sia con prove in itinere. L’attestazione di frequenza delle attività didattiche obbligatorie è necessaria per sostenere il relativo esame del Corso </w:t>
      </w:r>
      <w:r w:rsidR="001A0675" w:rsidRPr="00226489">
        <w:t>Integrato</w:t>
      </w:r>
      <w:r w:rsidRPr="00226489">
        <w:t>.</w:t>
      </w:r>
    </w:p>
    <w:p w14:paraId="3647E3F9" w14:textId="79D571F6" w:rsidR="001A0675" w:rsidRPr="00226489" w:rsidRDefault="001A0675" w:rsidP="00AF3662">
      <w:pPr>
        <w:jc w:val="both"/>
        <w:rPr>
          <w:b/>
          <w:bCs/>
        </w:rPr>
      </w:pPr>
      <w:r w:rsidRPr="00226489">
        <w:rPr>
          <w:b/>
          <w:bCs/>
        </w:rPr>
        <w:t>Capacità di applicare conoscenza e comprensione</w:t>
      </w:r>
    </w:p>
    <w:p w14:paraId="4EFEB09F" w14:textId="32928009" w:rsidR="001A0675" w:rsidRPr="00226489" w:rsidRDefault="001A0675" w:rsidP="00AF3662">
      <w:pPr>
        <w:jc w:val="both"/>
      </w:pPr>
      <w:r w:rsidRPr="00226489">
        <w:lastRenderedPageBreak/>
        <w:t>La laureata/il laureato magistrale in Odontoiatria e Protesi Dentaria deve avere maturato la conoscenza e conoscenza delle basi per la comprensione qualitativa e quantitativa dei fenomeni comprensione biologici, fisiologici e patologici ai fini del mantenimento dello stato di salute orale e applicare tali conoscenze alle terapie odontoiatriche, anche attraverso il tirocinio pratico previsto nell’ambito delle discipline professionalizzanti. In particolare, tale applicazione si esplica nei domini della comunicazione e capacità relazionali, nella capacità diagnostica e di pianificazione del trattamento e nella promozione della salute.</w:t>
      </w:r>
    </w:p>
    <w:p w14:paraId="1BCAA4DF" w14:textId="5EA992FB" w:rsidR="001A0675" w:rsidRPr="00226489" w:rsidRDefault="001A0675" w:rsidP="00AF3662">
      <w:pPr>
        <w:jc w:val="both"/>
      </w:pPr>
      <w:r w:rsidRPr="00226489">
        <w:t>Il laureato è in grado di:</w:t>
      </w:r>
    </w:p>
    <w:p w14:paraId="4823C213" w14:textId="2A78994D" w:rsidR="001A0675" w:rsidRPr="00226489" w:rsidRDefault="001A0675" w:rsidP="00AF3662">
      <w:pPr>
        <w:jc w:val="both"/>
      </w:pPr>
      <w:r w:rsidRPr="00226489">
        <w:t>- praticare la gamma completa dell'odontoiatria generale nel contesto del trattamento globale del paziente senza produrre rischi aggiuntivi per il paziente e per l'ambiente;</w:t>
      </w:r>
    </w:p>
    <w:p w14:paraId="1ED91C2F" w14:textId="6F9DEAF3" w:rsidR="001A0675" w:rsidRPr="00226489" w:rsidRDefault="001A0675" w:rsidP="00AF3662">
      <w:pPr>
        <w:jc w:val="both"/>
      </w:pPr>
      <w:r w:rsidRPr="00226489">
        <w:t>- individuare le priorità di trattamento coerentemente ai bisogni, partecipando con altri soggetti alla pianificazione di interventi volti alla riduzione delle malattie orali nella comunità derivanti dalla conoscenza dei principi e la pratica della odontoiatria di comunità;</w:t>
      </w:r>
    </w:p>
    <w:p w14:paraId="0A1B0348" w14:textId="184B4D2A" w:rsidR="001A0675" w:rsidRPr="00226489" w:rsidRDefault="001A0675" w:rsidP="00AF3662">
      <w:pPr>
        <w:jc w:val="both"/>
      </w:pPr>
      <w:r w:rsidRPr="00226489">
        <w:t>- controllare l'infezione crociata per prevenire le contaminazioni fisiche, chimiche e microbiologiche nell'esercizio della professione;</w:t>
      </w:r>
    </w:p>
    <w:p w14:paraId="49598A37" w14:textId="5FF28205" w:rsidR="001A0675" w:rsidRPr="00226489" w:rsidRDefault="001A0675" w:rsidP="00AF3662">
      <w:pPr>
        <w:jc w:val="both"/>
      </w:pPr>
      <w:r w:rsidRPr="00226489">
        <w:t>- applicare la gamma completa di tecniche di controllo dell'ansia e del dolore connessi ai trattamenti odontoiatrici (nei limiti consentiti all'odontoiatra);</w:t>
      </w:r>
    </w:p>
    <w:p w14:paraId="0B184E81" w14:textId="77777777" w:rsidR="001A0675" w:rsidRPr="00226489" w:rsidRDefault="001A0675" w:rsidP="00AF3662">
      <w:pPr>
        <w:jc w:val="both"/>
      </w:pPr>
      <w:r w:rsidRPr="00226489">
        <w:t>- comunicare con chiarezza ed umanità con il paziente e con i familiari, della capacità di collaborare con le diverse figure professionali nelle attività sanitarie di gruppo, organizzare il lavoro di équipe, di cui conosce le problematiche anche in tema di comunicazione e gestione delle risorse umane, applicando i principi dell'economia sanitaria;</w:t>
      </w:r>
    </w:p>
    <w:p w14:paraId="3E885B44" w14:textId="77777777" w:rsidR="001A0675" w:rsidRPr="00226489" w:rsidRDefault="001A0675" w:rsidP="00AF3662">
      <w:pPr>
        <w:jc w:val="both"/>
      </w:pPr>
      <w:r w:rsidRPr="00226489">
        <w:t>- organizzare e guidare l'équipe odontoiatrica utilizzando la gamma completa di personale ausiliario odontoiatrico disponibile.</w:t>
      </w:r>
    </w:p>
    <w:p w14:paraId="10222695" w14:textId="051B4F82" w:rsidR="001A0675" w:rsidRPr="00226489" w:rsidRDefault="001A0675" w:rsidP="00AF3662">
      <w:pPr>
        <w:jc w:val="both"/>
      </w:pPr>
      <w:r w:rsidRPr="00226489">
        <w:t>Il profilo professionale include anche l'aver effettuato durante il percorso di studi, attività pratiche di tipo clinico con autonomia tecnico professionale sotto la guida di docenti, che includono, tra le altre, alcune abilità diagnostiche, terapeutiche e di gestione delle emergenze:</w:t>
      </w:r>
    </w:p>
    <w:p w14:paraId="57234293" w14:textId="74648814" w:rsidR="001A0675" w:rsidRPr="00226489" w:rsidRDefault="001A0675" w:rsidP="00AF3662">
      <w:pPr>
        <w:jc w:val="both"/>
      </w:pPr>
      <w:r w:rsidRPr="00226489">
        <w:t xml:space="preserve">- rilevare una corretta anamnesi (compresa l'anamnesi medica), condurre l'esame obiettivo del cavo orale, riconoscere condizioni diverse dalla normalità, diagnosticare patologie dentali e orali, valutare la salute generale del paziente e le relazioni fra patologia sistemica e cavo orale; </w:t>
      </w:r>
    </w:p>
    <w:p w14:paraId="4F96D3E1" w14:textId="77777777" w:rsidR="001A0675" w:rsidRPr="00226489" w:rsidRDefault="001A0675" w:rsidP="00AF3662">
      <w:pPr>
        <w:jc w:val="both"/>
      </w:pPr>
      <w:r w:rsidRPr="00226489">
        <w:t xml:space="preserve">- formulare e modulare un piano di trattamento globale e odontoiatrico anche in relazione alla patologia sistemica ed eseguire </w:t>
      </w:r>
      <w:proofErr w:type="gramStart"/>
      <w:r w:rsidRPr="00226489">
        <w:t>la terapie</w:t>
      </w:r>
      <w:proofErr w:type="gramEnd"/>
      <w:r w:rsidRPr="00226489">
        <w:t xml:space="preserve"> appropriate o indirizzare il paziente ad altra competenza quando necessario; diagnosticare e gestire il dolore dentale, oro-facciale e cranio-mandibolare o indirizzare il paziente ad altra appropriata competenza; </w:t>
      </w:r>
    </w:p>
    <w:p w14:paraId="1D0E6F48" w14:textId="77777777" w:rsidR="001A0675" w:rsidRPr="00226489" w:rsidRDefault="001A0675" w:rsidP="00AF3662">
      <w:pPr>
        <w:jc w:val="both"/>
      </w:pPr>
      <w:r w:rsidRPr="00226489">
        <w:t xml:space="preserve">- svolgere attività di screening, diagnosi e gestione delle comuni patologie orali e dentali compreso il cancro, le patologie mucose e ossee o indirizzare il paziente ad altra appropriata competenza; </w:t>
      </w:r>
    </w:p>
    <w:p w14:paraId="092EE4AB" w14:textId="397ADD67" w:rsidR="001A0675" w:rsidRPr="00226489" w:rsidRDefault="001A0675" w:rsidP="00AF3662">
      <w:pPr>
        <w:jc w:val="both"/>
      </w:pPr>
      <w:r w:rsidRPr="00226489">
        <w:t>-  eseguire esami radiografici dentali con le tecniche di routine rispettando le norme di protezione dalle radiazioni ionizzanti; riconoscere segni radiologici di deviazione dalla norma;</w:t>
      </w:r>
    </w:p>
    <w:p w14:paraId="5F63D033" w14:textId="77777777" w:rsidR="001A0675" w:rsidRPr="00226489" w:rsidRDefault="001A0675" w:rsidP="00AF3662">
      <w:pPr>
        <w:jc w:val="both"/>
      </w:pPr>
      <w:r w:rsidRPr="00226489">
        <w:t xml:space="preserve">- praticare trattamenti parodontali di base, condurre interventi di chirurgia orale minore; </w:t>
      </w:r>
    </w:p>
    <w:p w14:paraId="57A26015" w14:textId="77777777" w:rsidR="001A0675" w:rsidRPr="00226489" w:rsidRDefault="001A0675" w:rsidP="00AF3662">
      <w:pPr>
        <w:jc w:val="both"/>
      </w:pPr>
      <w:r w:rsidRPr="00226489">
        <w:t xml:space="preserve">- praticare trattamenti endodontici completi su monoradicolati e </w:t>
      </w:r>
      <w:proofErr w:type="spellStart"/>
      <w:r w:rsidRPr="00226489">
        <w:t>poliradicolati</w:t>
      </w:r>
      <w:proofErr w:type="spellEnd"/>
      <w:r w:rsidRPr="00226489">
        <w:t xml:space="preserve">; </w:t>
      </w:r>
    </w:p>
    <w:p w14:paraId="166A9A18" w14:textId="77777777" w:rsidR="001A0675" w:rsidRPr="00226489" w:rsidRDefault="001A0675" w:rsidP="00AF3662">
      <w:pPr>
        <w:jc w:val="both"/>
      </w:pPr>
      <w:r w:rsidRPr="00226489">
        <w:t>- sostituire denti mancanti, quando indicato e appropriato, con la più opportuna soluzione riabilitativa protesica;</w:t>
      </w:r>
    </w:p>
    <w:p w14:paraId="081EBADD" w14:textId="77777777" w:rsidR="001A0675" w:rsidRPr="00226489" w:rsidRDefault="001A0675" w:rsidP="00AF3662">
      <w:pPr>
        <w:jc w:val="both"/>
      </w:pPr>
      <w:r w:rsidRPr="00226489">
        <w:lastRenderedPageBreak/>
        <w:t xml:space="preserve">- conoscere le indicazioni alla terapia implantare, effettuarla o indirizzare il paziente ad altra opportuna competenza; </w:t>
      </w:r>
    </w:p>
    <w:p w14:paraId="5DD98594" w14:textId="77777777" w:rsidR="001A0675" w:rsidRPr="00226489" w:rsidRDefault="001A0675" w:rsidP="00AF3662">
      <w:pPr>
        <w:jc w:val="both"/>
      </w:pPr>
      <w:r w:rsidRPr="00226489">
        <w:t xml:space="preserve">- utilizzare correttamente tutti i materiali disponibili e accettati dalla comunità scientifica; </w:t>
      </w:r>
    </w:p>
    <w:p w14:paraId="670732FC" w14:textId="311E58A8" w:rsidR="001A0675" w:rsidRPr="00226489" w:rsidRDefault="001A0675" w:rsidP="00AF3662">
      <w:pPr>
        <w:jc w:val="both"/>
      </w:pPr>
      <w:r w:rsidRPr="00226489">
        <w:t>- realizzare correzioni ortodontiche di problemi occlusali minori riconoscendo l'opportunità di indirizzare il paziente ad altre competenze in presenza di patologie più complesse;</w:t>
      </w:r>
    </w:p>
    <w:p w14:paraId="1A3BD699" w14:textId="3ADBD7A3" w:rsidR="001A0675" w:rsidRPr="00226489" w:rsidRDefault="001A0675" w:rsidP="00AF3662">
      <w:pPr>
        <w:jc w:val="both"/>
      </w:pPr>
      <w:r w:rsidRPr="00226489">
        <w:t>- effettuare manovre di pronto soccorso e rianimazione cardiopolmonare (BLS: Basic Life Support).</w:t>
      </w:r>
    </w:p>
    <w:p w14:paraId="35FFE8F0" w14:textId="7527E4F3" w:rsidR="001A0675" w:rsidRPr="00226489" w:rsidRDefault="001A0675" w:rsidP="00AF3662">
      <w:pPr>
        <w:jc w:val="both"/>
      </w:pPr>
      <w:r w:rsidRPr="00226489">
        <w:t>Modalità di acquisizione. Gli strumenti didattici finalizzati al raggiungimento delle capacità di applicare le conoscenze nell'ambito delle attività caratterizzanti includono una intensa attività di laboratorio a banchi individuali e di attività di tirocinio clinico sul paziente, la riflessione la rielaborazione e presentazione di testi scientifici analizzati da individui o gruppi di studenti e didattica frontale-seminariale finalizzata prevalentemente alla discussione interdisciplinare dei casi clinici assegnati.</w:t>
      </w:r>
    </w:p>
    <w:p w14:paraId="359804A6" w14:textId="5A4D0AD8" w:rsidR="001A0675" w:rsidRPr="00226489" w:rsidRDefault="001A0675" w:rsidP="00AF3662">
      <w:pPr>
        <w:jc w:val="both"/>
      </w:pPr>
      <w:r w:rsidRPr="00226489">
        <w:t>Modalità di verifica. I titolari degli insegnamenti professionalizzanti sono responsabili del tirocinio relativo all'insegnamento. Per ogni singolo tirocinio viene effettuata una valutazione in itinere di cui il docente terrà conto ai fini del voto finale d'esame. Le modalità di verifica possono prevedere prove scritte e orali, di laboratorio, valutazioni tirocini e/o progetti e test attitudinali, sia con valutazioni complessive sia con prove in itinere. L’attestazione di frequenza delle attività didattiche obbligatorie è necessaria per sostenere il relativo esame del Corso d’Insegnamento.</w:t>
      </w:r>
    </w:p>
    <w:p w14:paraId="23F71665" w14:textId="77777777" w:rsidR="001A0675" w:rsidRPr="00226489" w:rsidRDefault="001A0675" w:rsidP="00AF3662">
      <w:pPr>
        <w:jc w:val="both"/>
      </w:pPr>
      <w:r w:rsidRPr="00226489">
        <w:t>Un particolare tipo di tirocinio è il Tirocinio Pratico Valutativo (TPV), nel quale lo studente dovrà acquisire la capacità di applicare in autonomia le competenze e capacità diagnostiche e clinico-terapeutiche professionali e raggiungere un livello di preparazione pratica tale da acquisire l’abilitazione all’esercizio della professione.</w:t>
      </w:r>
    </w:p>
    <w:p w14:paraId="0138E189" w14:textId="77777777" w:rsidR="001A0675" w:rsidRPr="00226489" w:rsidRDefault="001A0675" w:rsidP="00AF3662">
      <w:pPr>
        <w:jc w:val="both"/>
      </w:pPr>
      <w:r w:rsidRPr="00226489">
        <w:t>Il TPV sarà valutato attraverso giudizi che caratterizzano il livello di maturazione e di consapevolezza della propria professionalità e della propria identità professionale raggiunta durante il percorso formativo. I CFU del TPV sono acquisiti previa certificazione dei tutor identificati dai Consigli di Corso di studio e validazione da parte del Presidente, che ne attesta la veridicità e ne acquisisce la responsabilità in termini di ore di attività svolte, numero di prestazioni eseguite, valutazione positiva secondo specifici criteri, tra i quali:</w:t>
      </w:r>
    </w:p>
    <w:p w14:paraId="486F5C38" w14:textId="77777777" w:rsidR="001A0675" w:rsidRPr="00226489" w:rsidRDefault="001A0675" w:rsidP="00AF3662">
      <w:pPr>
        <w:jc w:val="both"/>
      </w:pPr>
      <w:r w:rsidRPr="00226489">
        <w:t xml:space="preserve">- conoscenze tecniche e dei protocolli operativi e di sicurezza; abilità manuale; </w:t>
      </w:r>
    </w:p>
    <w:p w14:paraId="7D758052" w14:textId="77777777" w:rsidR="001A0675" w:rsidRPr="00226489" w:rsidRDefault="001A0675" w:rsidP="00AF3662">
      <w:pPr>
        <w:jc w:val="both"/>
      </w:pPr>
      <w:r w:rsidRPr="00226489">
        <w:t xml:space="preserve">- organizzazione del lavoro e capacità di collaborazione nonché approccio con i pazienti. </w:t>
      </w:r>
    </w:p>
    <w:p w14:paraId="5922DC1C" w14:textId="5304B21D" w:rsidR="001A0675" w:rsidRPr="00226489" w:rsidRDefault="001A0675" w:rsidP="00AF3662">
      <w:pPr>
        <w:jc w:val="both"/>
      </w:pPr>
      <w:r w:rsidRPr="00226489">
        <w:t xml:space="preserve">La frequenza dei TPV e le relative attività cliniche vengono certificate dalla compilazione di un </w:t>
      </w:r>
      <w:r w:rsidRPr="00AA3F5E">
        <w:rPr>
          <w:highlight w:val="yellow"/>
        </w:rPr>
        <w:t>appos</w:t>
      </w:r>
      <w:r w:rsidR="00AA3F5E" w:rsidRPr="00AA3F5E">
        <w:rPr>
          <w:highlight w:val="yellow"/>
        </w:rPr>
        <w:t>i</w:t>
      </w:r>
      <w:r w:rsidRPr="00AA3F5E">
        <w:rPr>
          <w:highlight w:val="yellow"/>
        </w:rPr>
        <w:t>to</w:t>
      </w:r>
      <w:r w:rsidRPr="00226489">
        <w:t xml:space="preserve"> libretto.</w:t>
      </w:r>
    </w:p>
    <w:p w14:paraId="7DC0855A" w14:textId="6E6CF440" w:rsidR="001A0675" w:rsidRPr="00226489" w:rsidRDefault="001A0675" w:rsidP="00AF3662">
      <w:pPr>
        <w:jc w:val="both"/>
        <w:rPr>
          <w:b/>
          <w:bCs/>
          <w:u w:val="single"/>
        </w:rPr>
      </w:pPr>
      <w:r w:rsidRPr="00226489">
        <w:rPr>
          <w:b/>
          <w:bCs/>
          <w:highlight w:val="yellow"/>
          <w:u w:val="single"/>
        </w:rPr>
        <w:t>QUADRO A4.b.2 – Conoscenza e comprensione, e Capacità di applicare conoscenza e comprensione: Dettaglio</w:t>
      </w:r>
      <w:r w:rsidR="00226489" w:rsidRPr="00226489">
        <w:rPr>
          <w:b/>
          <w:bCs/>
          <w:highlight w:val="yellow"/>
          <w:u w:val="single"/>
        </w:rPr>
        <w:t xml:space="preserve"> (AGGIORNATO)</w:t>
      </w:r>
    </w:p>
    <w:p w14:paraId="5E8B285C"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u w:val="single"/>
        </w:rPr>
      </w:pPr>
      <w:r w:rsidRPr="00226489">
        <w:rPr>
          <w:u w:val="single"/>
        </w:rPr>
        <w:t>Discipline di base</w:t>
      </w:r>
    </w:p>
    <w:p w14:paraId="1B98363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i/>
          <w:iCs/>
        </w:rPr>
      </w:pPr>
      <w:r w:rsidRPr="00226489">
        <w:rPr>
          <w:i/>
          <w:iCs/>
        </w:rPr>
        <w:t>Conoscenza e comprensione</w:t>
      </w:r>
    </w:p>
    <w:p w14:paraId="39642821"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ab/>
        <w:t xml:space="preserve">Il Laureato Magistrale in Odontoiatria e Protesi Dentaria deve acquisire una buona preparazione nelle discipline di base. </w:t>
      </w:r>
      <w:r w:rsidRPr="00226489">
        <w:rPr>
          <w:rFonts w:eastAsia="Tahoma" w:cs="Tahoma"/>
        </w:rPr>
        <w:t xml:space="preserve">Gli insegnamenti proposti in quest’area forniscono allo studente una conoscenza delle basi per la comprensione qualitativa e quantitativa dei fenomeni biologici e fisiologici, la conoscenza dei principi dei processi biologici molecolari, la conoscenza delle scienza di base, biologiche e comportamentali su cui si basano le moderne tecniche di mantenimento dello stato di salute orale e le terapie odontoiatriche, le conoscenze di informatica applicata, di statistica e di inglese, </w:t>
      </w:r>
      <w:r w:rsidRPr="00226489">
        <w:rPr>
          <w:rFonts w:eastAsia="Tahoma" w:cs="Tahoma"/>
        </w:rPr>
        <w:lastRenderedPageBreak/>
        <w:t>in modo utile a farne strumenti di ricerca e a scopo di aggiornamento individuale. In particolare, saranno fornite nozioni fondamentali e metodologia di fisica e statistica utili per identificare, comprendere ed interpretare i fenomeni biomedici.</w:t>
      </w:r>
    </w:p>
    <w:p w14:paraId="52645F8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p>
    <w:p w14:paraId="6FB12983"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i/>
          <w:iCs/>
        </w:rPr>
      </w:pPr>
      <w:r w:rsidRPr="00226489">
        <w:rPr>
          <w:i/>
          <w:iCs/>
        </w:rPr>
        <w:t>Capacità di applicare conoscenza e comprensione</w:t>
      </w:r>
    </w:p>
    <w:p w14:paraId="7A92694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b/>
        <w:t>Lo studio della biologia, dell’anatomia, della chimica, della fisica, dell</w:t>
      </w:r>
      <w:r w:rsidRPr="00226489">
        <w:rPr>
          <w:rFonts w:cs="Tahoma"/>
        </w:rPr>
        <w:t>’</w:t>
      </w:r>
      <w:r w:rsidRPr="00226489">
        <w:t>istologia, di biochimica, della fisiologia, della microbiologia e della patologia generale fornisce allo studente le capacit</w:t>
      </w:r>
      <w:r w:rsidRPr="00226489">
        <w:rPr>
          <w:rFonts w:cs="Tahoma"/>
        </w:rPr>
        <w:t>à</w:t>
      </w:r>
      <w:r w:rsidRPr="00226489">
        <w:t xml:space="preserve"> di poter capire i meccanismi che stanno alla base di tutte le patologie che affronterà nel suo percorso formativo; il corso integrato di scienze comportamentali e metodologia scientifica, assieme all’inglese scientifico, permette allo studente di poter capire ed eseguire in modo autonomo ricerche nella letteratura scientifica internazionale e lo mette in grado di valutare in modo critico e statistico i dati forniti da tali lavori.</w:t>
      </w:r>
    </w:p>
    <w:p w14:paraId="5DDD5E72"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107D284A"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Le modalità e gli strumenti didattici con cui vengono conseguiti e verificati i risultati attesi comprendono, la didattica frontale ed esami di profitto. </w:t>
      </w:r>
    </w:p>
    <w:p w14:paraId="2C7F4F7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p>
    <w:p w14:paraId="2B174A2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i/>
          <w:iCs/>
        </w:rPr>
      </w:pPr>
      <w:r w:rsidRPr="00226489">
        <w:rPr>
          <w:i/>
          <w:iCs/>
        </w:rPr>
        <w:t xml:space="preserve">Le conoscenze e capacità sono conseguite e verificate nelle seguenti </w:t>
      </w:r>
      <w:proofErr w:type="spellStart"/>
      <w:r w:rsidRPr="00226489">
        <w:rPr>
          <w:i/>
          <w:iCs/>
        </w:rPr>
        <w:t>attivita</w:t>
      </w:r>
      <w:proofErr w:type="spellEnd"/>
      <w:r w:rsidRPr="00226489">
        <w:rPr>
          <w:i/>
          <w:iCs/>
        </w:rPr>
        <w:t>̀ formative:</w:t>
      </w:r>
    </w:p>
    <w:p w14:paraId="3784016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Fino alla coorte 2022/2023:</w:t>
      </w:r>
    </w:p>
    <w:p w14:paraId="5E357F7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C.I. BIOLOGIA (http://medicina.unicz.it/insegnamento/179/18431)</w:t>
      </w:r>
    </w:p>
    <w:p w14:paraId="4568C06B"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CHIMICA (http://medicina.unicz.it/insegnamento/179/18437)</w:t>
      </w:r>
    </w:p>
    <w:p w14:paraId="5EAA92D3"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SCIENZE FISICHE, INFORMATICHE E STATISTICHE</w:t>
      </w:r>
      <w:r w:rsidRPr="00226489">
        <w:tab/>
        <w:t xml:space="preserve"> (http://medicina.unicz.it/insegnamento/179/18440)</w:t>
      </w:r>
    </w:p>
    <w:p w14:paraId="50CF8D35"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ABILITA’ INFORMATICO-LINGUISTICHE</w:t>
      </w:r>
      <w:r w:rsidRPr="00226489">
        <w:tab/>
        <w:t xml:space="preserve"> (http://medicina.unicz.it/insegnamento/179/18444)</w:t>
      </w:r>
    </w:p>
    <w:p w14:paraId="4568FAF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ANATOMIA I E ISTOLOGIA (http://medicina.unicz.it/insegnamento/179/18447)</w:t>
      </w:r>
    </w:p>
    <w:p w14:paraId="67702E2B"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BIOCHIMICA (http://medicina.unicz.it/insegnamento/179/18450)</w:t>
      </w:r>
    </w:p>
    <w:p w14:paraId="55A8050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ANATOMIA II (http://medicina.unicz.it/insegnamento/179/18455)</w:t>
      </w:r>
    </w:p>
    <w:p w14:paraId="29D6D755"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FISIOLOGIA I (http://medicina.unicz.it/insegnamento/179/18457)</w:t>
      </w:r>
    </w:p>
    <w:p w14:paraId="320FAB4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MICROBIOLOGIA GENERALE (http://medicina.unicz.it/insegnamento/179/18460)</w:t>
      </w:r>
    </w:p>
    <w:p w14:paraId="1E2A7CA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FISIOLOGIA II (http://medicina.unicz.it/insegnamento/179/18465)</w:t>
      </w:r>
    </w:p>
    <w:p w14:paraId="5EFC5BB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125882C2" w14:textId="3970E7E8" w:rsidR="009768A2" w:rsidRPr="00226489" w:rsidRDefault="00C4548B"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Per </w:t>
      </w:r>
      <w:proofErr w:type="gramStart"/>
      <w:r w:rsidRPr="00226489">
        <w:t xml:space="preserve">la </w:t>
      </w:r>
      <w:r w:rsidR="009768A2" w:rsidRPr="00226489">
        <w:t>coort</w:t>
      </w:r>
      <w:r w:rsidRPr="00226489">
        <w:t>i</w:t>
      </w:r>
      <w:proofErr w:type="gramEnd"/>
      <w:r w:rsidR="009768A2" w:rsidRPr="00226489">
        <w:t xml:space="preserve"> 2023/2024</w:t>
      </w:r>
      <w:r w:rsidRPr="00226489">
        <w:t xml:space="preserve"> e 2024/2025</w:t>
      </w:r>
      <w:r w:rsidR="009768A2" w:rsidRPr="00226489">
        <w:t>:</w:t>
      </w:r>
    </w:p>
    <w:p w14:paraId="689D142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CHIMICA APPLICATA ALLE SCIENZE BIOMEDICHE</w:t>
      </w:r>
    </w:p>
    <w:p w14:paraId="6D1C226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(https://medicina.unicz.it/insegnamento/361/30928)</w:t>
      </w:r>
    </w:p>
    <w:p w14:paraId="6B6055E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FISICA, INFORMATICA E STATISTICA (https://medicina.unicz.it/insegnamento/361/30931)</w:t>
      </w:r>
    </w:p>
    <w:p w14:paraId="69CD722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BIOLOGIA ED ISTOLOGIA (https://medicina.unicz.it/insegnamento/361/30924)</w:t>
      </w:r>
    </w:p>
    <w:p w14:paraId="09A2767B"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lastRenderedPageBreak/>
        <w:t>ANATOMIA UMANA I (https://medicina.unicz.it/insegnamento/361/30945)</w:t>
      </w:r>
    </w:p>
    <w:p w14:paraId="38A7F465"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BIOCHIMICA, BIOLOGIA MOLECOLARE E GENETICA </w:t>
      </w:r>
    </w:p>
    <w:p w14:paraId="1E57AAD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(https://medicina.unicz.it/insegnamento/361/30946)</w:t>
      </w:r>
    </w:p>
    <w:p w14:paraId="2443013C"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FISIOLOGIA I E FISICA (https://medicina.unicz.it/insegnamento/361/30963)</w:t>
      </w:r>
    </w:p>
    <w:p w14:paraId="39931491"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ANATOMIA UMANA II (https://medicina.unicz.it/insegnamento/361/30961)</w:t>
      </w:r>
    </w:p>
    <w:p w14:paraId="5A88DA3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MICROBIOLOGIA ED IMMUNOLOGIA (https://medicina.unicz.it/insegnamento/361/30966)</w:t>
      </w:r>
    </w:p>
    <w:p w14:paraId="4F292EA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FISIOLOGIA II (https://medicina.unicz.it/insegnamento/361/30971)</w:t>
      </w:r>
    </w:p>
    <w:p w14:paraId="79EF83F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1C9C7F9D" w14:textId="01491778" w:rsidR="00C4548B" w:rsidRPr="00226489" w:rsidRDefault="00C4548B"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Dalla coorte 2025/2026 (semestre filtro):</w:t>
      </w:r>
    </w:p>
    <w:p w14:paraId="57AA2B6C" w14:textId="77777777"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CHIMICA E PROPEDEUTICA BIOCHIMICA</w:t>
      </w:r>
    </w:p>
    <w:p w14:paraId="592C2554" w14:textId="70B12A21"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FISICA</w:t>
      </w:r>
    </w:p>
    <w:p w14:paraId="52660EE1" w14:textId="65155D0D"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BIOLOGIA</w:t>
      </w:r>
    </w:p>
    <w:p w14:paraId="2A810CBC" w14:textId="309B8B0F"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ABILITA’ INFORMATICHE, STATISTICHE E LINGUISTICHE</w:t>
      </w:r>
    </w:p>
    <w:p w14:paraId="5FD2DA08" w14:textId="2362AD6C"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ANATOMIA, ISTOLOGIA ED EMBRIOLOGIA UMANA</w:t>
      </w:r>
    </w:p>
    <w:p w14:paraId="7474C7DB" w14:textId="77777777"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BIOCHIMICA, BIOLOGIA MOLECOLARE E GENETICA</w:t>
      </w:r>
    </w:p>
    <w:p w14:paraId="1F95B1CA" w14:textId="3F240B01"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(https://medicina.unicz.it/insegnamento/361/30946)</w:t>
      </w:r>
    </w:p>
    <w:p w14:paraId="5628F78C" w14:textId="5DFC3974"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FISIOLOGIA I</w:t>
      </w:r>
    </w:p>
    <w:p w14:paraId="09B02B6D" w14:textId="0BF1CBED"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ANATOMIA UMANA II (https://medicina.unicz.it/insegnamento/361/30961)</w:t>
      </w:r>
    </w:p>
    <w:p w14:paraId="467EB243" w14:textId="77777777"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MICROBIOLOGIA ED IMMUNOLOGIA (https://medicina.unicz.it/insegnamento/361/30966)</w:t>
      </w:r>
    </w:p>
    <w:p w14:paraId="785CB5DA" w14:textId="5DA0922C" w:rsidR="00C4548B" w:rsidRPr="00226489" w:rsidRDefault="00C4548B" w:rsidP="00C454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FISIOLOGIA II (https://medicina.unicz.it/insegnamento/361/30971)</w:t>
      </w:r>
    </w:p>
    <w:p w14:paraId="16A39008" w14:textId="77777777" w:rsidR="00C4548B" w:rsidRPr="00226489" w:rsidRDefault="00C4548B"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74A7CAD7"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u w:val="single"/>
        </w:rPr>
      </w:pPr>
      <w:r w:rsidRPr="00226489">
        <w:rPr>
          <w:u w:val="single"/>
        </w:rPr>
        <w:t>Discipline Mediche</w:t>
      </w:r>
    </w:p>
    <w:p w14:paraId="641D880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i/>
          <w:iCs/>
        </w:rPr>
      </w:pPr>
      <w:r w:rsidRPr="00226489">
        <w:rPr>
          <w:i/>
          <w:iCs/>
        </w:rPr>
        <w:t>Conoscenza e comprensione</w:t>
      </w:r>
    </w:p>
    <w:p w14:paraId="5BF83A0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b/>
        <w:t xml:space="preserve">Il Laureato Magistrale in Odontoiatria e Protesi Dentaria deve acquisire una solida preparazione nelle discipline mediche. </w:t>
      </w:r>
    </w:p>
    <w:p w14:paraId="5CD5FA73"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Le discipline raggruppate in quest’area forniscono allo studente le capacit</w:t>
      </w:r>
      <w:r w:rsidRPr="00226489">
        <w:rPr>
          <w:rFonts w:cs="Tahoma"/>
        </w:rPr>
        <w:t xml:space="preserve">à </w:t>
      </w:r>
      <w:r w:rsidRPr="00226489">
        <w:t xml:space="preserve">di valutare con approccio olistico i problemi di salute orale di una persona sana o con patologie sistemiche. Apprendono i fondamenti della patologia umana, integrando lo studio fisiopatologico e patologico con la metodologia clinica e le procedure diagnostiche che consentono la valutazione dei principali quadri morbosi; apprendere i principali quadri </w:t>
      </w:r>
      <w:proofErr w:type="spellStart"/>
      <w:r w:rsidRPr="00226489">
        <w:t>correlazionistici</w:t>
      </w:r>
      <w:proofErr w:type="spellEnd"/>
      <w:r w:rsidRPr="00226489">
        <w:t xml:space="preserve"> e le procedure terapeutiche, mediche e chirurgiche complementari alla professione odontoiatrica.</w:t>
      </w:r>
    </w:p>
    <w:p w14:paraId="17F5EF9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Il laureato magistrale:</w:t>
      </w:r>
    </w:p>
    <w:p w14:paraId="50F41C5C"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dispone delle conoscenze essenziali per identificare l'eziologia, l'epidemiologia, la clinica, i principi diagnostici, e le linee-guida terapeutiche e di profilassi delle principali Malattie Infettive, con specifico riferimento al campo dell'Odontostomatologia;</w:t>
      </w:r>
    </w:p>
    <w:p w14:paraId="3FF0E657"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lastRenderedPageBreak/>
        <w:t>- possiede una conoscenza delle basi fondamentali dell'Anatomia Patologica con particolare riguardo al distretto testa-collo e conoscenza di come utilizzare l'Anatomia patologica a scopo diagnostico;</w:t>
      </w:r>
    </w:p>
    <w:p w14:paraId="17C1672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possiede le conoscenze relative all'assorbimento, metabolismo ed escrezione dei farmaci, compresi gli anestetici locali;</w:t>
      </w:r>
    </w:p>
    <w:p w14:paraId="71A025C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conosce le patologie di area medica, chirurgica, neurologica e psichiatrica pertinenti alla terapia odontostomatologica;</w:t>
      </w:r>
    </w:p>
    <w:p w14:paraId="27D71E5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è in grado di riconoscere le situazioni d'emergenza;</w:t>
      </w:r>
    </w:p>
    <w:p w14:paraId="02B4970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conosce le procedure basilari della rianimazione cardio-respiratoria;</w:t>
      </w:r>
    </w:p>
    <w:p w14:paraId="65138937"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conosce le principali patologie otorinolaringoiatriche in relazione al distretto oro-facciale;</w:t>
      </w:r>
    </w:p>
    <w:p w14:paraId="3983E55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xml:space="preserve">- conosce la legislazione italiana in materia sanitaria, in particolare il </w:t>
      </w:r>
      <w:proofErr w:type="gramStart"/>
      <w:r w:rsidRPr="00226489">
        <w:rPr>
          <w:rFonts w:eastAsia="Tahoma" w:cs="Tahoma"/>
        </w:rPr>
        <w:t>codice penale</w:t>
      </w:r>
      <w:proofErr w:type="gramEnd"/>
      <w:r w:rsidRPr="00226489">
        <w:rPr>
          <w:rFonts w:eastAsia="Tahoma" w:cs="Tahoma"/>
        </w:rPr>
        <w:t>, civile e deontologico, comprende i collegamenti eziologici tra il suo operato e le norme giuridiche;</w:t>
      </w:r>
    </w:p>
    <w:p w14:paraId="1402FE39"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conosce gli effetti collaterali e tossicità di farmaci e di sostanze d'abuso;</w:t>
      </w:r>
    </w:p>
    <w:p w14:paraId="51DF9797"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xml:space="preserve">- possiede le conoscenze relative alla </w:t>
      </w:r>
      <w:proofErr w:type="spellStart"/>
      <w:r w:rsidRPr="00226489">
        <w:rPr>
          <w:rFonts w:eastAsia="Tahoma" w:cs="Tahoma"/>
        </w:rPr>
        <w:t>preparedness</w:t>
      </w:r>
      <w:proofErr w:type="spellEnd"/>
      <w:r w:rsidRPr="00226489">
        <w:rPr>
          <w:rFonts w:eastAsia="Tahoma" w:cs="Tahoma"/>
        </w:rPr>
        <w:t>, alla medicina dei disastri e al quadro nazionale e internazionale di prevenzione e gestione delle pandemie e delle emergenze di sanità pubblica in ordine alle specificità del contesto specialistico;</w:t>
      </w:r>
    </w:p>
    <w:p w14:paraId="09C74F41"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xml:space="preserve">- conosce le basi scientifiche e tecnologiche ed opportunità delle moderne tecnologie di </w:t>
      </w:r>
      <w:proofErr w:type="spellStart"/>
      <w:r w:rsidRPr="00226489">
        <w:rPr>
          <w:rFonts w:eastAsia="Tahoma" w:cs="Tahoma"/>
        </w:rPr>
        <w:t>drug</w:t>
      </w:r>
      <w:proofErr w:type="spellEnd"/>
      <w:r w:rsidRPr="00226489">
        <w:rPr>
          <w:rFonts w:eastAsia="Tahoma" w:cs="Tahoma"/>
        </w:rPr>
        <w:t xml:space="preserve"> delivery controllato e delle terapie avanzate in odontoiatria;</w:t>
      </w:r>
    </w:p>
    <w:p w14:paraId="3E382A75"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dispone delle conoscenze necessarie alla valutazione della salute generale del paziente e delle relazioni fra patologia sistemica e cavo orale e la modulazione del piano di trattamento odontoiatrico in relazione alla patologia sistemica e alle caratteristiche individuali (età/genere) e di popolazione.</w:t>
      </w:r>
    </w:p>
    <w:p w14:paraId="0BC1AD0A"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p>
    <w:p w14:paraId="201806A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i/>
          <w:iCs/>
        </w:rPr>
      </w:pPr>
      <w:r w:rsidRPr="00226489">
        <w:tab/>
      </w:r>
      <w:r w:rsidRPr="00226489">
        <w:rPr>
          <w:i/>
          <w:iCs/>
        </w:rPr>
        <w:t>Capacità di applicare conoscenza e comprensione</w:t>
      </w:r>
    </w:p>
    <w:p w14:paraId="54C38949"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Il laureato magistrale:</w:t>
      </w:r>
    </w:p>
    <w:p w14:paraId="6C7688D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è in grado di fare la valutazione del rischio biologico all'interno dello studio odontoiatrico, scegliere i dispositivi di protezione individuale più appropriati, predisporre le procedure corrette per lo smaltimento dei rifiuti speciali a rischio infettivo, scegliere i mezzi chimici e fisici più adatti per decontaminare lo strumentario e le attrezzature;</w:t>
      </w:r>
    </w:p>
    <w:p w14:paraId="1A6C7959"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riconosce le procedure idonee di sanificazione ambientale dello studio odontoiatrico, adottare le procedure efficaci per il controllo del biofilm microbico nel riunito odontoiatrico, scegliere le metodiche idonee per la rilevazione ed il controllo della carica microbica aerodispersa, coordinare l'equipe dello studio odontoiatrico nell'applicazione degli adempimenti stabiliti dalle delibere nazionali e regionali</w:t>
      </w:r>
    </w:p>
    <w:p w14:paraId="4E780BB2"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conosce il significato diagnostico degli esami che valutano l'emostasi primaria e secondaria, le funzionalità del sistema immunitario e l'assetto lipoproteico plasmatico, per la valutazione della funzionalità epatica e renale;</w:t>
      </w:r>
    </w:p>
    <w:p w14:paraId="6E6586A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è in grado di svolgere correttamente alcuni impegni di carattere giuridico (referto, rapporto, certificati medici);</w:t>
      </w:r>
    </w:p>
    <w:p w14:paraId="47EA9598"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è in grado di effettuare la rianimazione cardio-polmonare di base (BLS);</w:t>
      </w:r>
    </w:p>
    <w:p w14:paraId="0D79D099"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lastRenderedPageBreak/>
        <w:t>- è in grado di applicare le tecniche anestesiologiche locali relative al trattamento delle malattie odontostomatologiche;</w:t>
      </w:r>
    </w:p>
    <w:p w14:paraId="15443209"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è capace di affrontare qualunque intervento odontoiatrico in relazione alle patologie mediche, chirurgiche, dermatologiche, cardiovascolari, neurologiche e psichiatriche in piena autonomia e sicurezza;</w:t>
      </w:r>
    </w:p>
    <w:p w14:paraId="74403C7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conosce le modalità di esecuzione di un esame istologico;</w:t>
      </w:r>
    </w:p>
    <w:p w14:paraId="5F5B853A"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comprende un referto istopatologico, con particolare riguardo alle patologie del cavo orale e delle ghiandole salivari;</w:t>
      </w:r>
    </w:p>
    <w:p w14:paraId="5512FBA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 conosce l'evoluzione biologica delle malattie del cavo orale per poter organizzare follow-up adeguati nel paziente. </w:t>
      </w:r>
    </w:p>
    <w:p w14:paraId="544E147B"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Inoltre, lo studio della farmacologia permette allo studente di poter capire i meccanismi che regolano il metabolismo dei farmaci all’interno dell</w:t>
      </w:r>
      <w:r w:rsidRPr="00226489">
        <w:rPr>
          <w:rFonts w:cs="Tahoma"/>
        </w:rPr>
        <w:t>’</w:t>
      </w:r>
      <w:r w:rsidRPr="00226489">
        <w:t>organismo, acquisendo le capacità e le conoscenze necessarie alla prescrizione di una terapia medica personalizzata in base al paziente. La medicina legale fornisce le basi per una corretta valutazione di quelli che sono gli aspetti comportamentali, etici e legali di ogni terapia intrapresa.</w:t>
      </w:r>
    </w:p>
    <w:p w14:paraId="52749D75"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Le modalità e gli strumenti didattici con cui vengono conseguiti e verificati i risultati attesi comprendono, la didattica frontale, attività pratiche di tirocinio e laboratorio ed esami di profitto.</w:t>
      </w:r>
    </w:p>
    <w:p w14:paraId="5EC9651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i/>
          <w:iCs/>
        </w:rPr>
      </w:pPr>
      <w:r w:rsidRPr="00226489">
        <w:rPr>
          <w:i/>
          <w:iCs/>
        </w:rPr>
        <w:tab/>
        <w:t xml:space="preserve">Le conoscenze e capacità sono conseguite e verificate nelle seguenti </w:t>
      </w:r>
      <w:proofErr w:type="spellStart"/>
      <w:r w:rsidRPr="00226489">
        <w:rPr>
          <w:i/>
          <w:iCs/>
        </w:rPr>
        <w:t>attivita</w:t>
      </w:r>
      <w:proofErr w:type="spellEnd"/>
      <w:r w:rsidRPr="00226489">
        <w:rPr>
          <w:i/>
          <w:iCs/>
        </w:rPr>
        <w:t>̀ formative:</w:t>
      </w:r>
    </w:p>
    <w:p w14:paraId="6F394B5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Fino alla coorte 2022/2023:</w:t>
      </w:r>
    </w:p>
    <w:p w14:paraId="040D780C"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MEDICINA DI LABORATORIO (http://medicina.unicz.it/insegnamento/179/18468)</w:t>
      </w:r>
    </w:p>
    <w:p w14:paraId="13C313A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PATOLOGIA GENERALE (http://medicina.unicz.it/insegnamento/179/18472)</w:t>
      </w:r>
    </w:p>
    <w:p w14:paraId="3DD545A8"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SCIENZE MEDICO-CHIRURGICHE (http://medicina.unicz.it/insegnamento/179/18485)</w:t>
      </w:r>
    </w:p>
    <w:p w14:paraId="39DE1805"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SCIENZE NEUROPSICHIATRICHE (http://medicina.unicz.it/insegnamento/179/18493)</w:t>
      </w:r>
    </w:p>
    <w:p w14:paraId="184C576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ANATOMIA PATOLOGICA (http://medicina.unicz.it/insegnamento/179/18479)</w:t>
      </w:r>
    </w:p>
    <w:p w14:paraId="43C2C1B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ANESTESIOLOGIA, SEDAZIONE E TERAPIA DEL DOLORE (http://medicina.unicz.it/insegnamento/179/18518)</w:t>
      </w:r>
    </w:p>
    <w:p w14:paraId="218F8B5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IGIENE E MEDICINA LEGALE (http://medicina.unicz.it/insegnamento/179/18542)</w:t>
      </w:r>
    </w:p>
    <w:p w14:paraId="1AE2337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MALATTIE CERVICO MAXILLO-FACCIALI (http://medicina.unicz.it/insegnamento/179/18546)</w:t>
      </w:r>
    </w:p>
    <w:p w14:paraId="72DE584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EMERGENZE MEDICO-CHIRURGICHE IN ODONTOIATRIA (http://medicina.unicz.it/insegnamento/179/18554)</w:t>
      </w:r>
    </w:p>
    <w:p w14:paraId="56ED0D55"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5F254D9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Dalla coorte 2023/2024:</w:t>
      </w:r>
    </w:p>
    <w:p w14:paraId="351F9B23"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PATOLOGIA GENERALE E GENETICA MEDICA </w:t>
      </w:r>
    </w:p>
    <w:p w14:paraId="188F6768"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(https://medicina.unicz.it/insegnamento/361/30980)</w:t>
      </w:r>
    </w:p>
    <w:p w14:paraId="507EC48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MEDICINA DI LABORATORIO </w:t>
      </w:r>
    </w:p>
    <w:p w14:paraId="2A45DD9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FARMACOLOGIA E TOSSICOLOGIA</w:t>
      </w:r>
    </w:p>
    <w:p w14:paraId="555290F8"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lastRenderedPageBreak/>
        <w:t>ANATOMIA PATOLOGICA</w:t>
      </w:r>
    </w:p>
    <w:p w14:paraId="5B904CE3"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SCIENZE MEDICO-CHIRURGICHE</w:t>
      </w:r>
    </w:p>
    <w:p w14:paraId="49E295A7"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SCIENZE NEUROPSICHIATRICHE</w:t>
      </w:r>
    </w:p>
    <w:p w14:paraId="149404C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ANESTESIOLOGIA, RIANIMAZIONE, SEDAZIONE E TERAPIA DEL DOLORE</w:t>
      </w:r>
    </w:p>
    <w:p w14:paraId="0D89243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IGIENE E MEDICINA LEGALE</w:t>
      </w:r>
    </w:p>
    <w:p w14:paraId="613EE922"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45829C1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u w:val="single"/>
        </w:rPr>
      </w:pPr>
      <w:r w:rsidRPr="00226489">
        <w:rPr>
          <w:u w:val="single"/>
        </w:rPr>
        <w:t>Discipline Specialistiche Odontoiatriche e Radiologiche</w:t>
      </w:r>
    </w:p>
    <w:p w14:paraId="3EA9DC11"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i/>
          <w:iCs/>
        </w:rPr>
      </w:pPr>
      <w:r w:rsidRPr="00226489">
        <w:tab/>
      </w:r>
      <w:r w:rsidRPr="00226489">
        <w:rPr>
          <w:i/>
          <w:iCs/>
        </w:rPr>
        <w:t>Conoscenza e comprensione</w:t>
      </w:r>
    </w:p>
    <w:p w14:paraId="156C523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Il Laureato Magistrale in Odontoiatria e Protesi Dentaria deve acquisire una completa preparazione nelle discipline specialistiche professionalizzanti odontoiatriche. Egli deve inoltre essere in grado di valutare criticamente le problematiche relative allo stato di malattia dell'apparato stomatognatico in una visione unitaria che tenga conto dello stato di salute del singolo paziente. Inoltre, i</w:t>
      </w:r>
      <w:r w:rsidRPr="00226489">
        <w:rPr>
          <w:rFonts w:eastAsia="Tahoma" w:cs="Tahoma"/>
        </w:rPr>
        <w:t>l laureato magistrale:</w:t>
      </w:r>
    </w:p>
    <w:p w14:paraId="779BD4BC"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xml:space="preserve">- conosce gli aspetti diagnostici e terapeutici delle principali patologie chirurgiche del cavo orale e dei tessuti molli intra ed </w:t>
      </w:r>
      <w:proofErr w:type="spellStart"/>
      <w:r w:rsidRPr="00226489">
        <w:rPr>
          <w:rFonts w:eastAsia="Tahoma" w:cs="Tahoma"/>
        </w:rPr>
        <w:t>extraorali</w:t>
      </w:r>
      <w:proofErr w:type="spellEnd"/>
      <w:r w:rsidRPr="00226489">
        <w:rPr>
          <w:rFonts w:eastAsia="Tahoma" w:cs="Tahoma"/>
        </w:rPr>
        <w:t xml:space="preserve"> del distretto facciale</w:t>
      </w:r>
    </w:p>
    <w:p w14:paraId="303D23B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conosce le basi teoriche e le tecniche dell'ortodonzia, gnatologia, conservativa, endodonzia, parodontologia, protesi, chirurgia orale e maxillofacciale, implantologia nell'adulto e quelle relative al bambino;</w:t>
      </w:r>
    </w:p>
    <w:p w14:paraId="348EE64A"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conosce le tecniche diagnostiche cliniche e radiografiche nonché quelle neuroradiologiche per la diagnosi delle patologie orali, maxillofacciali e dell'articolazione temporo-mandibolare;</w:t>
      </w:r>
    </w:p>
    <w:p w14:paraId="69256611"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conosce le norme deontologiche e responsabilità professionale, valutando criticamente i principi etici che sottendono le scelte professionali;</w:t>
      </w:r>
    </w:p>
    <w:p w14:paraId="5AC99B6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-conosce e applica le principali norme e modelli che regolano l'organizzazione sanitaria.</w:t>
      </w:r>
    </w:p>
    <w:p w14:paraId="035C8B1B"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i/>
          <w:iCs/>
        </w:rPr>
      </w:pPr>
      <w:r w:rsidRPr="00226489">
        <w:tab/>
      </w:r>
      <w:r w:rsidRPr="00226489">
        <w:rPr>
          <w:i/>
          <w:iCs/>
        </w:rPr>
        <w:t>Capacità di applicare conoscenza e comprensione</w:t>
      </w:r>
    </w:p>
    <w:p w14:paraId="10512A82"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Il laureato magistrale:</w:t>
      </w:r>
    </w:p>
    <w:p w14:paraId="14D86A5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è in grado di praticare la gamma completa dell'odontoiatria generale nel contesto del trattamento globale del paziente senza produrre rischi aggiuntivi per il paziente e per l'ambiente</w:t>
      </w:r>
    </w:p>
    <w:p w14:paraId="4D74260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 è in grado d'individuare le </w:t>
      </w:r>
      <w:proofErr w:type="spellStart"/>
      <w:r w:rsidRPr="00226489">
        <w:t>priorita</w:t>
      </w:r>
      <w:proofErr w:type="spellEnd"/>
      <w:r w:rsidRPr="00226489">
        <w:t xml:space="preserve">̀ di trattamento coerentemente ai bisogni, partecipando con altri soggetti alla pianificazione di interventi volti alla riduzione delle malattie orali nella </w:t>
      </w:r>
      <w:proofErr w:type="spellStart"/>
      <w:r w:rsidRPr="00226489">
        <w:t>comunita</w:t>
      </w:r>
      <w:proofErr w:type="spellEnd"/>
      <w:r w:rsidRPr="00226489">
        <w:t xml:space="preserve">̀ derivanti dalla conoscenza dei principi e la pratica della odontoiatria di </w:t>
      </w:r>
      <w:proofErr w:type="spellStart"/>
      <w:r w:rsidRPr="00226489">
        <w:t>comunita</w:t>
      </w:r>
      <w:proofErr w:type="spellEnd"/>
      <w:r w:rsidRPr="00226489">
        <w:t xml:space="preserve">̀ </w:t>
      </w:r>
    </w:p>
    <w:p w14:paraId="7BE4C57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è in grado di controllare l'infezione crociata per</w:t>
      </w:r>
      <w:r w:rsidRPr="00226489">
        <w:rPr>
          <w:rFonts w:eastAsia="Tahoma" w:cs="Tahoma"/>
        </w:rPr>
        <w:t xml:space="preserve"> </w:t>
      </w:r>
      <w:r w:rsidRPr="00226489">
        <w:t>prevenire le contaminazioni fisiche, chimiche e microbiologiche nell'esercizio della professione;</w:t>
      </w:r>
    </w:p>
    <w:p w14:paraId="12796DE2"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conosce ed applica la gamma completa di tecniche di controllo dell'ansia e del dolore connessi ai trattamenti odontoiatrici (nei limiti consentiti all'odontoiatra);</w:t>
      </w:r>
    </w:p>
    <w:p w14:paraId="57793B5C"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è in grado di organizzare e guidare l'</w:t>
      </w:r>
      <w:proofErr w:type="spellStart"/>
      <w:r w:rsidRPr="00226489">
        <w:t>équipe</w:t>
      </w:r>
      <w:proofErr w:type="spellEnd"/>
      <w:r w:rsidRPr="00226489">
        <w:t xml:space="preserve"> odontoiatrica utilizzando la gamma completa di personale ausiliario odontoiatrico disponibile. </w:t>
      </w:r>
    </w:p>
    <w:p w14:paraId="60E72477"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lastRenderedPageBreak/>
        <w:t xml:space="preserve">Gli strumenti didattici finalizzati al raggiungimento delle capacità di applicare le conoscenze nell'ambito delle </w:t>
      </w:r>
      <w:proofErr w:type="spellStart"/>
      <w:r w:rsidRPr="00226489">
        <w:t>attivita</w:t>
      </w:r>
      <w:proofErr w:type="spellEnd"/>
      <w:r w:rsidRPr="00226489">
        <w:t xml:space="preserve">̀ caratterizzanti includono una intensa </w:t>
      </w:r>
      <w:proofErr w:type="spellStart"/>
      <w:r w:rsidRPr="00226489">
        <w:t>attivita</w:t>
      </w:r>
      <w:proofErr w:type="spellEnd"/>
      <w:r w:rsidRPr="00226489">
        <w:t xml:space="preserve">̀ di tirocinio che prevede delle esercitazioni su modelli prima delle </w:t>
      </w:r>
      <w:proofErr w:type="spellStart"/>
      <w:r w:rsidRPr="00226489">
        <w:t>attivita</w:t>
      </w:r>
      <w:proofErr w:type="spellEnd"/>
      <w:r w:rsidRPr="00226489">
        <w:t>̀ di tirocinio pratico-valutativo su paziente da primo operatore secondo le modalità definite a livello nazionale.</w:t>
      </w:r>
    </w:p>
    <w:p w14:paraId="1E6EE69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b/>
        <w:t xml:space="preserve">Le conoscenze e capacità sono conseguite e verificate nelle seguenti </w:t>
      </w:r>
      <w:proofErr w:type="spellStart"/>
      <w:r w:rsidRPr="00226489">
        <w:t>attivita</w:t>
      </w:r>
      <w:proofErr w:type="spellEnd"/>
      <w:r w:rsidRPr="00226489">
        <w:t>̀ formative:</w:t>
      </w:r>
    </w:p>
    <w:p w14:paraId="1F90DDEA"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Fino alla coorte 2022/2023:</w:t>
      </w:r>
    </w:p>
    <w:p w14:paraId="644BCFD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CARIOLOGIA E ODONTOIATRIA RESTAURATIVA I</w:t>
      </w:r>
    </w:p>
    <w:p w14:paraId="139E102F" w14:textId="4B705686"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(http://medicina.unicz.it/insegnamento/179/18464)</w:t>
      </w:r>
    </w:p>
    <w:p w14:paraId="2D0028CB"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CARIOLOGIA E ODONTOIATRIA RESTAURATIVA II </w:t>
      </w:r>
    </w:p>
    <w:p w14:paraId="31DF9B10" w14:textId="5FB7D844"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(http://medicina.unicz.it/insegnamento/179/18503)</w:t>
      </w:r>
    </w:p>
    <w:p w14:paraId="4B42E0D3"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CARIOLOGIA E ODONTOIATRIA RESTAURATIVA III </w:t>
      </w:r>
    </w:p>
    <w:p w14:paraId="6A4C934B" w14:textId="2E95FE20"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(http://medicina.unicz.it/insegnamento/179/18541)</w:t>
      </w:r>
    </w:p>
    <w:p w14:paraId="16BBA653"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PATOLOGIA ORALE (http://medicina.unicz.it/insegnamento/179/18512)</w:t>
      </w:r>
    </w:p>
    <w:p w14:paraId="37E87E38"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CHIRURGIA ORALE I (http://medicina.unicz.it/insegnamento/179/18525)</w:t>
      </w:r>
    </w:p>
    <w:p w14:paraId="6D3EE96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CHIRURGIA ORALE II (http://medicina.unicz.it/insegnamento/179/18531)</w:t>
      </w:r>
    </w:p>
    <w:p w14:paraId="218E1EEB"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PARODONTOLOGIA I (http://medicina.unicz.it/insegnamento/179/18526)</w:t>
      </w:r>
    </w:p>
    <w:p w14:paraId="6444DDE2"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PARODONTOLOGIA II (http://medicina.unicz.it/insegnamento/179/18536)</w:t>
      </w:r>
    </w:p>
    <w:p w14:paraId="4101100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CLINICA DELLE MALATTIE DENTO-PARODONTALI</w:t>
      </w:r>
    </w:p>
    <w:p w14:paraId="60CFB53A"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 (http://medicina.unicz.it/insegnamento/179/18532)</w:t>
      </w:r>
    </w:p>
    <w:p w14:paraId="1B685B1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PROTESI E RIABILITAZIONE ORALE I (http://medicina.unicz.it/insegnamento/179/18527)</w:t>
      </w:r>
    </w:p>
    <w:p w14:paraId="0D7C8111"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PROTESI E RIABILITAZIONE ORALE II (http://medicina.unicz.it/insegnamento/179/18537)</w:t>
      </w:r>
    </w:p>
    <w:p w14:paraId="7C70239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ODONTOIATRIA INFANTILE (http://medicina.unicz.it/insegnamento/179/18563)</w:t>
      </w:r>
    </w:p>
    <w:p w14:paraId="7513584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ODONTOIATRIA PREVENTIVA (http://medicina.unicz.it/insegnamento/179/18482)</w:t>
      </w:r>
    </w:p>
    <w:p w14:paraId="69315021"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022FCEE8" w14:textId="2AF08BD6"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Dalla coorte 2023/2024:</w:t>
      </w:r>
    </w:p>
    <w:p w14:paraId="7F2145A9"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PRINCIPI DI ODONTOIATRIA (https://medicina.unicz.it/insegnamento/361/31671)</w:t>
      </w:r>
    </w:p>
    <w:p w14:paraId="3A7A6B1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ODONTOIATRIA PREVENTIVA E DI COMUNITA’ </w:t>
      </w:r>
    </w:p>
    <w:p w14:paraId="056C3F1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(https://medicina.unicz.it/insegnamento/361/31678)</w:t>
      </w:r>
    </w:p>
    <w:p w14:paraId="24BCD2A9"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DIAGNOSTICA PER IMMAGINI ODONTOSTOMATOLOGICA </w:t>
      </w:r>
    </w:p>
    <w:p w14:paraId="7AEA628D"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MATERIALI DENTARI, TECNOLOGIE PROTESICHE E DIGITALI </w:t>
      </w:r>
    </w:p>
    <w:p w14:paraId="0CD3AE2B"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ODONTOIATRIA CONSERVATIVA </w:t>
      </w:r>
    </w:p>
    <w:p w14:paraId="2FCD4D50"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PATOLOGIA E MEDICINA ORALE </w:t>
      </w:r>
    </w:p>
    <w:p w14:paraId="721BB78C"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ODONTOIATRIA PEDIATRICA </w:t>
      </w:r>
    </w:p>
    <w:p w14:paraId="2C5D6C9F"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lastRenderedPageBreak/>
        <w:t xml:space="preserve">ORTOGNATODONZIA I </w:t>
      </w:r>
    </w:p>
    <w:p w14:paraId="171CE5DB"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CHIRURGIA ORALE </w:t>
      </w:r>
    </w:p>
    <w:p w14:paraId="4AAAD115"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ENDODONZIA </w:t>
      </w:r>
    </w:p>
    <w:p w14:paraId="1623FA42"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PARODONTOLOGIA </w:t>
      </w:r>
    </w:p>
    <w:p w14:paraId="7D447177"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PROTESI E RIABILITAZIONE ORALE I </w:t>
      </w:r>
    </w:p>
    <w:p w14:paraId="45C1EAF9"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PATOLOGIA E TERAPIA DEL DISTRETTO CERVICO-MAXILLO-FACCIALE </w:t>
      </w:r>
    </w:p>
    <w:p w14:paraId="3B603F54"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PROTESI E RIABILITAZIONE ORALE II </w:t>
      </w:r>
    </w:p>
    <w:p w14:paraId="766A506E"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CHIRURGIA RIABILITATIVA DEI MASCELLARI ED IMPLANTOLOGIA </w:t>
      </w:r>
    </w:p>
    <w:p w14:paraId="679C80C6" w14:textId="77777777" w:rsidR="009768A2" w:rsidRPr="00226489" w:rsidRDefault="009768A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ORTOGNATODONZIA II </w:t>
      </w:r>
    </w:p>
    <w:p w14:paraId="69690A64" w14:textId="7A050CA9" w:rsidR="001A0675" w:rsidRPr="00226489" w:rsidRDefault="009768A2" w:rsidP="00AF3662">
      <w:pPr>
        <w:jc w:val="both"/>
      </w:pPr>
      <w:r w:rsidRPr="00226489">
        <w:t>CLINICA ODONTOSTOMATOLOGICA</w:t>
      </w:r>
    </w:p>
    <w:p w14:paraId="75094F17" w14:textId="77777777" w:rsidR="001A0675" w:rsidRPr="00226489" w:rsidRDefault="001A0675" w:rsidP="00AF3662">
      <w:pPr>
        <w:jc w:val="both"/>
      </w:pPr>
    </w:p>
    <w:p w14:paraId="39CD40A4" w14:textId="6FA647C1" w:rsidR="000A61C3" w:rsidRPr="00226489" w:rsidRDefault="000A61C3" w:rsidP="00AF3662">
      <w:pPr>
        <w:jc w:val="both"/>
        <w:rPr>
          <w:b/>
          <w:bCs/>
        </w:rPr>
      </w:pPr>
      <w:r w:rsidRPr="00226489">
        <w:rPr>
          <w:b/>
          <w:bCs/>
        </w:rPr>
        <w:t>QUADRO A4.c – Autonomia di giudizio Abilità comunicative Capacità di apprendimento</w:t>
      </w:r>
    </w:p>
    <w:p w14:paraId="1235AC5F" w14:textId="77777777" w:rsidR="000A61C3" w:rsidRPr="00226489" w:rsidRDefault="000A61C3" w:rsidP="00AF3662">
      <w:pPr>
        <w:jc w:val="both"/>
        <w:rPr>
          <w:u w:val="single"/>
        </w:rPr>
      </w:pPr>
      <w:r w:rsidRPr="00226489">
        <w:rPr>
          <w:u w:val="single"/>
        </w:rPr>
        <w:t xml:space="preserve">Autonomia di giudizio </w:t>
      </w:r>
    </w:p>
    <w:p w14:paraId="3022755B" w14:textId="6AF8CC20" w:rsidR="000A61C3" w:rsidRPr="00226489" w:rsidRDefault="000A61C3" w:rsidP="00AF3662">
      <w:pPr>
        <w:jc w:val="both"/>
      </w:pPr>
      <w:r w:rsidRPr="00226489">
        <w:t>La laureata/il laureato magistrale in Odontoiatria e protesi dentaria deve possedere la capacità di produrre giudizi autonomi partendo dall’interpretazione di una base di dati, pervenendo a riflessioni coerenti su tematiche sociali, etiche e scientifiche.</w:t>
      </w:r>
    </w:p>
    <w:p w14:paraId="34FCEA6B" w14:textId="77777777" w:rsidR="000A61C3" w:rsidRPr="00226489" w:rsidRDefault="000A61C3" w:rsidP="00AF3662">
      <w:pPr>
        <w:jc w:val="both"/>
      </w:pPr>
      <w:r w:rsidRPr="00226489">
        <w:t>Deve essere in grado anche di effettuare valutazioni statistiche sulla base degli strumenti che gli sono stati messi a disposizione durante il corso di studi. Deve essere in grado di valutare l'efficacia del piano di trattamento, degli interventi compiuti, dei risultati conseguiti.</w:t>
      </w:r>
    </w:p>
    <w:p w14:paraId="65B9D3D9" w14:textId="1596E425" w:rsidR="000A61C3" w:rsidRPr="00226489" w:rsidRDefault="000A61C3" w:rsidP="00AF3662">
      <w:pPr>
        <w:jc w:val="both"/>
      </w:pPr>
      <w:r w:rsidRPr="00226489">
        <w:t>Modalità di acquisizione. L'autonomia di giudizio viene coltivata nello studente mediante: seminari dedicati agli strumenti di ricerca e recupero bibliografico e delle principali banche dati di ambito biomedico; seminari multidisciplinari dedicati a tematiche sociali, scientifiche ed etiche in ambito biomedico; letture di articoli scientifici, riflessione, rielaborazione e presentazione di testi scientifici analizzati da individui o gruppi di studenti; didattica frontale-seminariale finalizzata prevalentemente alla discussione interdisciplinare dei casi clinici assegnati; elaborazione di progetti scientifici autonomi provvisti di bibliografia.</w:t>
      </w:r>
    </w:p>
    <w:p w14:paraId="250128E4" w14:textId="1F7D88C1" w:rsidR="000A61C3" w:rsidRPr="00226489" w:rsidRDefault="000A61C3" w:rsidP="00AF3662">
      <w:pPr>
        <w:jc w:val="both"/>
      </w:pPr>
      <w:r w:rsidRPr="00226489">
        <w:t>Modalità di verifica. L'autonomia di giudizio viene considerata, valutata e verificata nelle diverse discipline, prevedendo prove scritte e orali, valutazioni di tirocini e/o progetti e test attitudinali, discussioni di casi clinici, secondo le norme inserite nell'ordinamento del Regolamento Didattico in linea con le norme dell'Ateneo.</w:t>
      </w:r>
    </w:p>
    <w:p w14:paraId="388A6C60" w14:textId="77777777" w:rsidR="000A61C3" w:rsidRPr="00226489" w:rsidRDefault="000A61C3" w:rsidP="00AF3662">
      <w:pPr>
        <w:jc w:val="both"/>
      </w:pPr>
      <w:r w:rsidRPr="00226489">
        <w:t>A questo scopo, lo strumento didattico privilegiato è comunque il significativo lavoro di tirocinio clinico, in particolare quello relativo al tirocinio pratico valutativo (TPV), in cui la verifica dell’acquisizione dell’autonomia di giudizio necessaria alla pratica odontoiatrica viene svolta da parte di docenti e tutori sia nel corso dell'attività quotidiana sui pazienti che al momento dell'analisi e valutazione critica dei risultati ottenuti dagli studenti. La valutazione del grado di autonomia nel suo complesso è poi affinata con le attività svolte nel periodo di tesi su un argomento di originale.</w:t>
      </w:r>
    </w:p>
    <w:p w14:paraId="779FF4BD" w14:textId="77777777" w:rsidR="000A61C3" w:rsidRPr="00226489" w:rsidRDefault="000A61C3" w:rsidP="00AF3662">
      <w:pPr>
        <w:jc w:val="both"/>
        <w:rPr>
          <w:u w:val="single"/>
        </w:rPr>
      </w:pPr>
      <w:r w:rsidRPr="00226489">
        <w:rPr>
          <w:u w:val="single"/>
        </w:rPr>
        <w:t>Abilità comunicative</w:t>
      </w:r>
    </w:p>
    <w:p w14:paraId="316C6589" w14:textId="4C83CEC3" w:rsidR="000A61C3" w:rsidRPr="00226489" w:rsidRDefault="000A61C3" w:rsidP="00AF3662">
      <w:pPr>
        <w:jc w:val="both"/>
      </w:pPr>
      <w:r w:rsidRPr="00226489">
        <w:lastRenderedPageBreak/>
        <w:t xml:space="preserve">La laureata/il laureato magistrale in Odontoiatria e protesi dentaria deve saper comunicare in modo chiaro e privo di ambiguità le sue conclusioni nonché le conoscenze e la ratio ad esse sottese ad interlocutori specialisti e non specialistici e saper gestire i rapporti con i colleghi, medici e odontoiatri, con i collaboratori e con i pazienti. A tal fine la laureata/il laureato: </w:t>
      </w:r>
    </w:p>
    <w:p w14:paraId="267FF743" w14:textId="3B047A1C" w:rsidR="000A61C3" w:rsidRPr="00226489" w:rsidRDefault="000A61C3" w:rsidP="00AF3662">
      <w:pPr>
        <w:jc w:val="both"/>
      </w:pPr>
      <w:r w:rsidRPr="00226489">
        <w:t xml:space="preserve">- possiede una conoscenza della lingua inglese di livello intermedio necessaria per la consultazione di testi e riviste scientifiche; </w:t>
      </w:r>
    </w:p>
    <w:p w14:paraId="163D8B8D" w14:textId="530B107A" w:rsidR="000A61C3" w:rsidRPr="00226489" w:rsidRDefault="000A61C3" w:rsidP="00AF3662">
      <w:pPr>
        <w:jc w:val="both"/>
      </w:pPr>
      <w:r w:rsidRPr="00226489">
        <w:t>- è in grado di comunicare efficacemente col paziente e educare il paziente a tecniche di igiene orale appropriate ed efficaci e fornendolo di adeguate informazioni, basate su conoscenze accettate dalla comunità scientifica, per ottenere il consenso informato alla terapia.</w:t>
      </w:r>
    </w:p>
    <w:p w14:paraId="521F5B44" w14:textId="77777777" w:rsidR="000A61C3" w:rsidRPr="00226489" w:rsidRDefault="000A61C3" w:rsidP="00AF3662">
      <w:pPr>
        <w:jc w:val="both"/>
      </w:pPr>
      <w:r w:rsidRPr="00226489">
        <w:t>- sa sviluppare un approccio al caso clinico di tipo interdisciplinare, anche e soprattutto in collaborazione con altre figure dell'équipe sanitaria, approfondendo la conoscenza delle regole e delle dinamiche che caratterizzano il lavoro del gruppo degli operatori sanitari.</w:t>
      </w:r>
    </w:p>
    <w:p w14:paraId="648D325F" w14:textId="2507C83F" w:rsidR="000A61C3" w:rsidRPr="00226489" w:rsidRDefault="000A61C3" w:rsidP="00AF3662">
      <w:pPr>
        <w:jc w:val="both"/>
      </w:pPr>
      <w:r w:rsidRPr="00226489">
        <w:t>M</w:t>
      </w:r>
      <w:r w:rsidR="0091351D" w:rsidRPr="00226489">
        <w:t>odalità di verifica</w:t>
      </w:r>
      <w:r w:rsidRPr="00226489">
        <w:t>. Le abilità comunicative vengono verificate e valutate con prove orali, valutazioni tirocini e/o progetti e test attitudinali, nonché durante la discussione della tesi di laurea che avverrà attraverso strumenti multimediali davanti all'apposita commissione.</w:t>
      </w:r>
    </w:p>
    <w:p w14:paraId="17D25A94" w14:textId="7AC8BEA1" w:rsidR="000A61C3" w:rsidRPr="00226489" w:rsidRDefault="000A61C3" w:rsidP="00AF3662">
      <w:pPr>
        <w:jc w:val="both"/>
      </w:pPr>
      <w:r w:rsidRPr="00226489">
        <w:t>M</w:t>
      </w:r>
      <w:r w:rsidR="0091351D" w:rsidRPr="00226489">
        <w:t>odalità di acquisizione</w:t>
      </w:r>
      <w:r w:rsidRPr="00226489">
        <w:t xml:space="preserve">. Le abilità comunicative vengono </w:t>
      </w:r>
      <w:r w:rsidR="0091351D" w:rsidRPr="00226489">
        <w:t>acquisite e sviluppate durante seminari e lezioni, presentazioni di lavori individuali e di gruppo, nell’attività professionalizzante e nei tirocini clinici, e durante il TPV, dove costituiscono criterio di valutazione sotto la guida di docenti.</w:t>
      </w:r>
    </w:p>
    <w:p w14:paraId="7BE9A11A" w14:textId="77777777" w:rsidR="000A61C3" w:rsidRPr="00226489" w:rsidRDefault="000A61C3" w:rsidP="00AF3662">
      <w:pPr>
        <w:jc w:val="both"/>
        <w:rPr>
          <w:u w:val="single"/>
        </w:rPr>
      </w:pPr>
      <w:r w:rsidRPr="00226489">
        <w:rPr>
          <w:u w:val="single"/>
        </w:rPr>
        <w:t xml:space="preserve">Capacità di apprendimento </w:t>
      </w:r>
    </w:p>
    <w:p w14:paraId="4CD64B45" w14:textId="77777777" w:rsidR="000A61C3" w:rsidRPr="00226489" w:rsidRDefault="000A61C3" w:rsidP="00AF3662">
      <w:pPr>
        <w:jc w:val="both"/>
      </w:pPr>
      <w:r w:rsidRPr="00226489">
        <w:t>Gli studenti in odontoiatria e protesi dentaria devono maturare, nel corso dei sei anni di percorso formativo:</w:t>
      </w:r>
    </w:p>
    <w:p w14:paraId="54127466" w14:textId="77777777" w:rsidR="000A61C3" w:rsidRPr="00226489" w:rsidRDefault="000A61C3" w:rsidP="00AF3662">
      <w:pPr>
        <w:jc w:val="both"/>
      </w:pPr>
      <w:r w:rsidRPr="00226489">
        <w:t>- la abilità necessaria ad avanzare negli studi con elevato grado di autonomia;</w:t>
      </w:r>
    </w:p>
    <w:p w14:paraId="63086131" w14:textId="77777777" w:rsidR="000A61C3" w:rsidRPr="00226489" w:rsidRDefault="000A61C3" w:rsidP="00AF3662">
      <w:pPr>
        <w:jc w:val="both"/>
      </w:pPr>
      <w:r w:rsidRPr="00226489">
        <w:t>- un livello di autonomia professionale, culturale, decisionale e operativa tale da consentire loro un costante aggiornamento anche tramite la capacità di consultare banche dati ai fini di acquisire documentazione scientifica ed analizzare la letteratura scientifica applicando i risultati della ricerca alla terapia in modo affidabile;</w:t>
      </w:r>
    </w:p>
    <w:p w14:paraId="53858378" w14:textId="77777777" w:rsidR="000A61C3" w:rsidRPr="00226489" w:rsidRDefault="000A61C3" w:rsidP="00AF3662">
      <w:pPr>
        <w:jc w:val="both"/>
      </w:pPr>
      <w:r w:rsidRPr="00226489">
        <w:t>- la capacità di interpretare e correttamente applicare la legislazione concernente l'esercizio dell'odontoiatria del paese dell'UE in cui si esercita, e prestare assistenza nel rispetto delle norme medico-legali ed etiche ivi vigenti.</w:t>
      </w:r>
    </w:p>
    <w:p w14:paraId="4411774C" w14:textId="5A2A1052" w:rsidR="000A61C3" w:rsidRPr="00226489" w:rsidRDefault="000A61C3" w:rsidP="00AF3662">
      <w:pPr>
        <w:jc w:val="both"/>
      </w:pPr>
      <w:r w:rsidRPr="00226489">
        <w:t>M</w:t>
      </w:r>
      <w:r w:rsidR="0091351D" w:rsidRPr="00226489">
        <w:t>odalità di acquisizione</w:t>
      </w:r>
      <w:r w:rsidRPr="00226489">
        <w:t>. La capacità di apprendimento viene acquisita dallo studente mediante: un percorso formativo caratterizzato da un approccio olistico ai problemi di salute orale della persona sana o malata, anche in relazione all'ambiente fisico e sociale che lo circonda; un orientamento in entrata, in itinere ed in uscita da parte di docenti indicati come referenti dal Consiglio di Struttura Didattica; attività formative cliniche professionalizzanti da svolgersi in modo integrato con le altre attività formative presso strutture assistenziali universitarie.</w:t>
      </w:r>
    </w:p>
    <w:p w14:paraId="6D1A7D3E" w14:textId="77777777" w:rsidR="000A61C3" w:rsidRPr="00226489" w:rsidRDefault="000A61C3" w:rsidP="00AF3662">
      <w:pPr>
        <w:jc w:val="both"/>
      </w:pPr>
      <w:r w:rsidRPr="00226489">
        <w:t>L'attività formativa così integrata è obbligatoria e necessaria per il conseguimento della laurea magistrale e viene pianificato dal regolamento didattico nell'ambito della durata complessiva del corso di studi; seminari dedicati agli strumenti di ricerca e recupero bibliografico e delle principali banche dati di ambito biomedico; preparazione e conduzione della tesi per la presentazione nel corso dell’esame di laurea.</w:t>
      </w:r>
    </w:p>
    <w:p w14:paraId="2C439D2D" w14:textId="78046803" w:rsidR="000A61C3" w:rsidRPr="00226489" w:rsidRDefault="000A61C3" w:rsidP="00AF3662">
      <w:pPr>
        <w:jc w:val="both"/>
      </w:pPr>
      <w:r w:rsidRPr="00226489">
        <w:t>M</w:t>
      </w:r>
      <w:r w:rsidR="0091351D" w:rsidRPr="00226489">
        <w:t>odalità di verifica</w:t>
      </w:r>
      <w:r w:rsidRPr="00226489">
        <w:t xml:space="preserve">. La capacità di apprendimento viene valutata attraverso forme di verifica continua durante le attività formative, compenetrando le conoscenze acquisite nel corso di attività specifiche a </w:t>
      </w:r>
      <w:r w:rsidRPr="00226489">
        <w:lastRenderedPageBreak/>
        <w:t>quelle conseguite mediante lo studio personale, valutando il contributo critico dimostrato nel corso di attività professionalizzanti, seminariali, di tirocinio clinico e durante il TPV, nonché mediante la verifica della capacità di auto-apprendimento maturata durante lo svolgimento dell'attività relativa alla prova finale.</w:t>
      </w:r>
    </w:p>
    <w:p w14:paraId="3C94BC5F" w14:textId="38F17F52" w:rsidR="005F65AB" w:rsidRPr="00226489" w:rsidRDefault="000A61C3" w:rsidP="00AF3662">
      <w:pPr>
        <w:jc w:val="both"/>
      </w:pPr>
      <w:r w:rsidRPr="00226489">
        <w:t>A tal scopo l'esame finale comprende lo svolgimento di una Prova Pratica Valutativa (PPV) delle competenze professionali acquisite mediante il TPV interno ai corsi di studio, volta ad accertare il livello di preparazione pratica del candidato per l’abilitazione all’esercizio della professione, che precede la discussione della tesi di laurea.</w:t>
      </w:r>
    </w:p>
    <w:p w14:paraId="2EC076D3" w14:textId="7311E2B1" w:rsidR="00433CA5" w:rsidRPr="00226489" w:rsidRDefault="00433CA5" w:rsidP="00AF3662">
      <w:pPr>
        <w:jc w:val="both"/>
        <w:rPr>
          <w:b/>
          <w:bCs/>
          <w:u w:val="single"/>
        </w:rPr>
      </w:pPr>
      <w:r w:rsidRPr="00226489">
        <w:rPr>
          <w:b/>
          <w:bCs/>
          <w:u w:val="single"/>
        </w:rPr>
        <w:t>QUADRO A4.d – Descrizione sintetica delle attività affini e integrative</w:t>
      </w:r>
    </w:p>
    <w:p w14:paraId="289B4316" w14:textId="77777777" w:rsidR="00433CA5" w:rsidRPr="00226489" w:rsidRDefault="00433CA5" w:rsidP="00AF3662">
      <w:pPr>
        <w:jc w:val="both"/>
      </w:pPr>
      <w:r w:rsidRPr="00226489">
        <w:t xml:space="preserve">Le attività formative affini o integrative a quelle di base e caratterizzanti sono definite dalle università nella loro autonomia anche con riguardo alle culture di contesto e alla formazione interdisciplinare. Tali attività sono finalizzate all’acquisizione di una formazione multidisciplinare e interdisciplinare, di conoscenze e abilità funzionalmente correlate al profilo culturale e professionale proposto, costituiscono un ambito disciplinare dell’ordinamento didattico per il quale sono forniti una descrizione sintetica delle attività previste e il numero di crediti formativi universitari ad esso complessivamente assegnati, nonché possono fare riferimento anche a settori scientifico-disciplinari già presenti negli ambiti di base o caratterizzanti, laddove sia necessario al migliore conseguimento degli obiettivi formativi del corso di studi. </w:t>
      </w:r>
    </w:p>
    <w:p w14:paraId="676972F0" w14:textId="77777777" w:rsidR="00433CA5" w:rsidRPr="00226489" w:rsidRDefault="00433CA5" w:rsidP="00AF3662">
      <w:pPr>
        <w:jc w:val="both"/>
      </w:pPr>
      <w:r w:rsidRPr="00226489">
        <w:t>Tali attività sono essenziali per il raggiungimento delle conoscenze della base biomedica, tecnica e scienze cliniche sufficienti per comprendere le condizioni normali e patologiche rilevanti per l'odontoiatria e della capacità di comprensione dell’importanza di queste informazioni nelle situazioni clinico-professionali. La loro applicazione multidisciplinare ed interdisciplinare si esplica nei domini della comunicazione e delle capacità relazionali, diagnostiche e di pianificazione del trattamento e nella promozione della salute, anche in un’ottica economico-gestionale.</w:t>
      </w:r>
    </w:p>
    <w:p w14:paraId="536B5A1F" w14:textId="77777777" w:rsidR="00433CA5" w:rsidRPr="00226489" w:rsidRDefault="00433CA5" w:rsidP="00AF3662">
      <w:pPr>
        <w:jc w:val="both"/>
      </w:pPr>
      <w:r w:rsidRPr="00226489">
        <w:t>In particolare, tali capacità si esplicano nei domini:</w:t>
      </w:r>
    </w:p>
    <w:p w14:paraId="586D378B" w14:textId="77777777" w:rsidR="00433CA5" w:rsidRPr="00226489" w:rsidRDefault="00433CA5" w:rsidP="00AF3662">
      <w:pPr>
        <w:jc w:val="both"/>
      </w:pPr>
      <w:r w:rsidRPr="00226489">
        <w:t>- delle conoscenze teoriche essenziali, che derivano dalle scienze di base per la comprensione qualitativa e quantitativa dei fenomeni biologici, fisiologici e patologici, nella prospettiva della loro successiva applicazione professionale;</w:t>
      </w:r>
    </w:p>
    <w:p w14:paraId="70F8B8FE" w14:textId="77777777" w:rsidR="00433CA5" w:rsidRPr="00226489" w:rsidRDefault="00433CA5" w:rsidP="00AF3662">
      <w:pPr>
        <w:jc w:val="both"/>
      </w:pPr>
      <w:r w:rsidRPr="00226489">
        <w:t>- della conoscenza delle dimensioni etiche e storiche della medicina e dell'odontoiatria, e delle nozioni fondamentali di diritto di rilevanza professionale in odontoiatria;</w:t>
      </w:r>
    </w:p>
    <w:p w14:paraId="10DDDEE3" w14:textId="00754FED" w:rsidR="00433CA5" w:rsidRPr="00226489" w:rsidRDefault="00433CA5" w:rsidP="00AF3662">
      <w:pPr>
        <w:jc w:val="both"/>
      </w:pPr>
      <w:r w:rsidRPr="00226489">
        <w:t>- della capacità di riconoscere i problemi di salute orale della comunità e d’intervenire in modo competente, in applicazione del Metodo Scientifico, dei principali strumenti statistici ed informatici nell’ambito della ricerca sperimentale;</w:t>
      </w:r>
    </w:p>
    <w:p w14:paraId="2ABC729F" w14:textId="77777777" w:rsidR="00433CA5" w:rsidRPr="00226489" w:rsidRDefault="00433CA5" w:rsidP="00AF3662">
      <w:pPr>
        <w:jc w:val="both"/>
      </w:pPr>
      <w:r w:rsidRPr="00226489">
        <w:t>- del pensiero critico e dell’acquisizione dei dati e delle informazioni clinico-epidemiologiche relativi allo stato di salute e di malattia del singolo individuo, alla luce della conoscenza delle principali patologie di interesse odontostomatologico, internistico e chirurgico, fornendo l’interpretazione eziopatogenetica, accennando agli indirizzi diagnostici e terapeutici e approfondendo le interrelazioni con la patologia odontoiatrica e alle implicazioni a livello del cavo orale.</w:t>
      </w:r>
    </w:p>
    <w:p w14:paraId="284E4E06" w14:textId="082FB48D" w:rsidR="00ED2438" w:rsidRPr="00226489" w:rsidRDefault="00433CA5" w:rsidP="00AF3662">
      <w:pPr>
        <w:jc w:val="both"/>
      </w:pPr>
      <w:r w:rsidRPr="00226489">
        <w:t xml:space="preserve">Ai sensi dell’articolo 3 comma 6 del DM 1649 del 19-12-2023, le attività affini ed integrative, unitamente </w:t>
      </w:r>
      <w:r w:rsidR="00CE786C" w:rsidRPr="00226489">
        <w:t>ai corsi a scelta</w:t>
      </w:r>
      <w:r w:rsidRPr="00226489">
        <w:t xml:space="preserve"> e agli ulteriori 8 crediti di tirocinio a scelta dello studente riservati dal CdS, vanno a costituire i 30 CFU previsti dalla classe per una maggiore preparazione nella scelta vocazionale e consapevolezza ai fini della scelta di eventuali percorsi post</w:t>
      </w:r>
      <w:r w:rsidR="00EF075A" w:rsidRPr="00226489">
        <w:t>-</w:t>
      </w:r>
      <w:r w:rsidRPr="00226489">
        <w:t>laurea.</w:t>
      </w:r>
    </w:p>
    <w:bookmarkEnd w:id="3"/>
    <w:p w14:paraId="71E6F73A" w14:textId="5BAA67EE" w:rsidR="00CE786C" w:rsidRPr="00226489" w:rsidRDefault="00CE786C"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bCs/>
          <w:u w:val="single"/>
        </w:rPr>
      </w:pPr>
      <w:r w:rsidRPr="00226489">
        <w:rPr>
          <w:b/>
          <w:bCs/>
          <w:highlight w:val="yellow"/>
          <w:u w:val="single"/>
        </w:rPr>
        <w:t>QUADRO A5.a – Caratteristiche della prova finale</w:t>
      </w:r>
      <w:r w:rsidR="00226489" w:rsidRPr="00226489">
        <w:rPr>
          <w:b/>
          <w:bCs/>
          <w:highlight w:val="yellow"/>
          <w:u w:val="single"/>
        </w:rPr>
        <w:t xml:space="preserve"> (AGGIORNATO)</w:t>
      </w:r>
    </w:p>
    <w:p w14:paraId="31077B5B" w14:textId="77777777" w:rsidR="00385118" w:rsidRPr="00226489" w:rsidRDefault="00385118" w:rsidP="003851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hyperlink r:id="rId8" w:history="1">
        <w:r w:rsidRPr="00226489">
          <w:rPr>
            <w:rStyle w:val="Collegamentoipertestuale"/>
            <w:rFonts w:eastAsia="Tahoma" w:cs="Tahoma"/>
          </w:rPr>
          <w:t>https://medicina.unicz.it/corso_studio/odontoiatria_protesi_dentaria/regolamento_didattico</w:t>
        </w:r>
      </w:hyperlink>
    </w:p>
    <w:p w14:paraId="00F06E3A" w14:textId="6D033B19" w:rsidR="00CE786C" w:rsidRPr="00226489" w:rsidRDefault="00CE786C" w:rsidP="00AF3662">
      <w:pPr>
        <w:pStyle w:val="CorpoA"/>
        <w:jc w:val="both"/>
        <w:rPr>
          <w:rFonts w:asciiTheme="minorHAnsi" w:hAnsiTheme="minorHAnsi"/>
        </w:rPr>
      </w:pPr>
      <w:r w:rsidRPr="00226489">
        <w:rPr>
          <w:rFonts w:asciiTheme="minorHAnsi" w:hAnsiTheme="minorHAnsi"/>
        </w:rPr>
        <w:t xml:space="preserve">Ai sensi degli articoli 1 e 3 della legge 8 novembre 2021, n. 163, l’esame finale per il conseguimento della laurea magistrale a ciclo unico in Odontoiatria e protesi dentaria - classe LM-46 abilita all’esercizio della professione di odontoiatra a partire dalla coorte 2022-2023 (esame finale anno accademico 2027/2028). A tal fine, il </w:t>
      </w:r>
      <w:proofErr w:type="gramStart"/>
      <w:r w:rsidRPr="00226489">
        <w:rPr>
          <w:rFonts w:asciiTheme="minorHAnsi" w:hAnsiTheme="minorHAnsi"/>
        </w:rPr>
        <w:t>predetto</w:t>
      </w:r>
      <w:proofErr w:type="gramEnd"/>
      <w:r w:rsidRPr="00226489">
        <w:rPr>
          <w:rFonts w:asciiTheme="minorHAnsi" w:hAnsiTheme="minorHAnsi"/>
        </w:rPr>
        <w:t xml:space="preserve"> esame finale comprende lo svolgimento di una prova pratica valutativa delle competenze professionali acquisite con il tirocinio interno ai corsi di studio, volta ad accertare il livello di preparazione pratica del candidato per l’abilitazione all’esercizio della professione, che precede la discussione della tesi di laurea.</w:t>
      </w:r>
    </w:p>
    <w:p w14:paraId="6A26E921" w14:textId="77777777" w:rsidR="00CE786C" w:rsidRPr="00226489" w:rsidRDefault="00CE786C" w:rsidP="00AF3662">
      <w:pPr>
        <w:pStyle w:val="CorpoA"/>
        <w:jc w:val="both"/>
        <w:rPr>
          <w:rFonts w:asciiTheme="minorHAnsi" w:hAnsiTheme="minorHAnsi"/>
        </w:rPr>
      </w:pPr>
    </w:p>
    <w:p w14:paraId="2C145EEF" w14:textId="4D18EA4B" w:rsidR="00CE786C" w:rsidRPr="00226489" w:rsidRDefault="00CE786C" w:rsidP="00AF3662">
      <w:pPr>
        <w:pStyle w:val="CorpoA"/>
        <w:jc w:val="both"/>
        <w:rPr>
          <w:rFonts w:asciiTheme="minorHAnsi" w:hAnsiTheme="minorHAnsi"/>
        </w:rPr>
      </w:pPr>
      <w:r w:rsidRPr="00226489">
        <w:rPr>
          <w:rFonts w:asciiTheme="minorHAnsi" w:hAnsiTheme="minorHAnsi"/>
        </w:rPr>
        <w:t xml:space="preserve">Lo Studente ha la </w:t>
      </w:r>
      <w:proofErr w:type="spellStart"/>
      <w:r w:rsidRPr="00226489">
        <w:rPr>
          <w:rFonts w:asciiTheme="minorHAnsi" w:hAnsiTheme="minorHAnsi"/>
        </w:rPr>
        <w:t>disponibilita</w:t>
      </w:r>
      <w:proofErr w:type="spellEnd"/>
      <w:r w:rsidRPr="00226489">
        <w:rPr>
          <w:rFonts w:asciiTheme="minorHAnsi" w:hAnsiTheme="minorHAnsi"/>
        </w:rPr>
        <w:t xml:space="preserve">̀ di </w:t>
      </w:r>
      <w:r w:rsidR="00221835" w:rsidRPr="00226489">
        <w:rPr>
          <w:rFonts w:asciiTheme="minorHAnsi" w:hAnsiTheme="minorHAnsi"/>
        </w:rPr>
        <w:t>8</w:t>
      </w:r>
      <w:r w:rsidRPr="00226489">
        <w:rPr>
          <w:rFonts w:asciiTheme="minorHAnsi" w:hAnsiTheme="minorHAnsi"/>
        </w:rPr>
        <w:t xml:space="preserve"> crediti </w:t>
      </w:r>
      <w:r w:rsidR="00221835" w:rsidRPr="00226489">
        <w:rPr>
          <w:rFonts w:asciiTheme="minorHAnsi" w:hAnsiTheme="minorHAnsi"/>
        </w:rPr>
        <w:t xml:space="preserve">formativi </w:t>
      </w:r>
      <w:r w:rsidRPr="00226489">
        <w:rPr>
          <w:rFonts w:asciiTheme="minorHAnsi" w:hAnsiTheme="minorHAnsi"/>
        </w:rPr>
        <w:t>(2</w:t>
      </w:r>
      <w:r w:rsidR="00221835" w:rsidRPr="00226489">
        <w:rPr>
          <w:rFonts w:asciiTheme="minorHAnsi" w:hAnsiTheme="minorHAnsi"/>
        </w:rPr>
        <w:t>00</w:t>
      </w:r>
      <w:r w:rsidRPr="00226489">
        <w:rPr>
          <w:rFonts w:asciiTheme="minorHAnsi" w:hAnsiTheme="minorHAnsi"/>
        </w:rPr>
        <w:t xml:space="preserve"> ore) finalizzati alla preparazione della Tesi di Laurea presso strutture universitarie cliniche o di base. </w:t>
      </w:r>
    </w:p>
    <w:p w14:paraId="248AD41D" w14:textId="30EB51B7" w:rsidR="00CE786C" w:rsidRPr="00226489" w:rsidRDefault="00CE786C" w:rsidP="00AF3662">
      <w:pPr>
        <w:pStyle w:val="CorpoA"/>
        <w:jc w:val="both"/>
        <w:rPr>
          <w:rFonts w:asciiTheme="minorHAnsi" w:hAnsiTheme="minorHAnsi"/>
        </w:rPr>
      </w:pPr>
      <w:r w:rsidRPr="00226489">
        <w:rPr>
          <w:rFonts w:asciiTheme="minorHAnsi" w:hAnsiTheme="minorHAnsi"/>
        </w:rPr>
        <w:t xml:space="preserve">La richiesta </w:t>
      </w:r>
      <w:proofErr w:type="spellStart"/>
      <w:r w:rsidRPr="00226489">
        <w:rPr>
          <w:rFonts w:asciiTheme="minorHAnsi" w:hAnsiTheme="minorHAnsi"/>
        </w:rPr>
        <w:t>dovra</w:t>
      </w:r>
      <w:proofErr w:type="spellEnd"/>
      <w:r w:rsidRPr="00226489">
        <w:rPr>
          <w:rFonts w:asciiTheme="minorHAnsi" w:hAnsiTheme="minorHAnsi"/>
        </w:rPr>
        <w:t xml:space="preserve">̀ essere presentata almeno </w:t>
      </w:r>
      <w:proofErr w:type="gramStart"/>
      <w:r w:rsidRPr="00226489">
        <w:rPr>
          <w:rFonts w:asciiTheme="minorHAnsi" w:hAnsiTheme="minorHAnsi"/>
        </w:rPr>
        <w:t>6</w:t>
      </w:r>
      <w:proofErr w:type="gramEnd"/>
      <w:r w:rsidRPr="00226489">
        <w:rPr>
          <w:rFonts w:asciiTheme="minorHAnsi" w:hAnsiTheme="minorHAnsi"/>
        </w:rPr>
        <w:t xml:space="preserve"> mesi prima della scadenza prevista per la prova finale. Il Docente</w:t>
      </w:r>
      <w:r w:rsidR="00221835" w:rsidRPr="00226489">
        <w:rPr>
          <w:rFonts w:asciiTheme="minorHAnsi" w:hAnsiTheme="minorHAnsi"/>
        </w:rPr>
        <w:t xml:space="preserve"> relatore</w:t>
      </w:r>
      <w:r w:rsidRPr="00226489">
        <w:rPr>
          <w:rFonts w:asciiTheme="minorHAnsi" w:hAnsiTheme="minorHAnsi"/>
        </w:rPr>
        <w:t xml:space="preserve">, esaminato il curriculum, accoglie la richiesta previa ratifica da parte del responsabile della struttura, affidando eventualmente ad un tutor la responsabilità̀ del controllo e della certificazione delle </w:t>
      </w:r>
      <w:proofErr w:type="spellStart"/>
      <w:r w:rsidRPr="00226489">
        <w:rPr>
          <w:rFonts w:asciiTheme="minorHAnsi" w:hAnsiTheme="minorHAnsi"/>
        </w:rPr>
        <w:t>attivita</w:t>
      </w:r>
      <w:proofErr w:type="spellEnd"/>
      <w:r w:rsidRPr="00226489">
        <w:rPr>
          <w:rFonts w:asciiTheme="minorHAnsi" w:hAnsiTheme="minorHAnsi"/>
        </w:rPr>
        <w:t xml:space="preserve">̀ svolte dallo Studente stesso. </w:t>
      </w:r>
    </w:p>
    <w:p w14:paraId="226662DD" w14:textId="77777777" w:rsidR="00CE786C" w:rsidRPr="00226489" w:rsidRDefault="00CE786C" w:rsidP="00AF3662">
      <w:pPr>
        <w:pStyle w:val="CorpoA"/>
        <w:jc w:val="both"/>
        <w:rPr>
          <w:rFonts w:asciiTheme="minorHAnsi" w:hAnsiTheme="minorHAnsi"/>
          <w:lang w:val="de-DE"/>
        </w:rPr>
      </w:pPr>
    </w:p>
    <w:p w14:paraId="72FAD2BC" w14:textId="54CB9D82" w:rsidR="00CE786C" w:rsidRPr="00226489" w:rsidRDefault="00CE786C" w:rsidP="00AF3662">
      <w:pPr>
        <w:pStyle w:val="CorpoA"/>
        <w:jc w:val="both"/>
        <w:rPr>
          <w:rFonts w:asciiTheme="minorHAnsi" w:eastAsia="Tahoma" w:hAnsiTheme="minorHAnsi" w:cs="Tahoma"/>
          <w:lang w:val="de-DE"/>
        </w:rPr>
      </w:pPr>
      <w:r w:rsidRPr="00226489">
        <w:rPr>
          <w:rFonts w:asciiTheme="minorHAnsi" w:hAnsiTheme="minorHAnsi"/>
          <w:lang w:val="de-DE"/>
        </w:rPr>
        <w:t>AMMISSIONE</w:t>
      </w:r>
    </w:p>
    <w:p w14:paraId="1B735C0D" w14:textId="77777777" w:rsidR="00CE786C" w:rsidRPr="00226489" w:rsidRDefault="00CE786C" w:rsidP="00AF3662">
      <w:pPr>
        <w:pStyle w:val="CorpoA"/>
        <w:jc w:val="both"/>
        <w:rPr>
          <w:rFonts w:asciiTheme="minorHAnsi" w:eastAsia="Tahoma" w:hAnsiTheme="minorHAnsi" w:cs="Tahoma"/>
        </w:rPr>
      </w:pPr>
      <w:r w:rsidRPr="00226489">
        <w:rPr>
          <w:rFonts w:asciiTheme="minorHAnsi" w:hAnsiTheme="minorHAnsi"/>
        </w:rPr>
        <w:t>Per essere ammesso a sostenere l’Esame di Laurea, lo Studente deve:</w:t>
      </w:r>
    </w:p>
    <w:p w14:paraId="44D2D7A1" w14:textId="0B070EB3" w:rsidR="00385118" w:rsidRPr="00226489" w:rsidRDefault="00CE786C" w:rsidP="00AF3662">
      <w:pPr>
        <w:pStyle w:val="CorpoA"/>
        <w:jc w:val="both"/>
        <w:rPr>
          <w:rFonts w:asciiTheme="minorHAnsi" w:hAnsiTheme="minorHAnsi"/>
        </w:rPr>
      </w:pPr>
      <w:r w:rsidRPr="00226489">
        <w:rPr>
          <w:rFonts w:asciiTheme="minorHAnsi" w:hAnsiTheme="minorHAnsi"/>
        </w:rPr>
        <w:t>• aver seguito tutti i Corsi ed avere superato i relativi esami</w:t>
      </w:r>
    </w:p>
    <w:p w14:paraId="2E164872" w14:textId="76C24CC0" w:rsidR="00385118" w:rsidRPr="00226489" w:rsidRDefault="00385118" w:rsidP="00AF3662">
      <w:pPr>
        <w:pStyle w:val="CorpoA"/>
        <w:jc w:val="both"/>
        <w:rPr>
          <w:rFonts w:asciiTheme="minorHAnsi" w:hAnsiTheme="minorHAnsi"/>
        </w:rPr>
      </w:pPr>
      <w:r w:rsidRPr="00226489">
        <w:rPr>
          <w:rFonts w:asciiTheme="minorHAnsi" w:hAnsiTheme="minorHAnsi"/>
        </w:rPr>
        <w:t xml:space="preserve">• aver completato con profitto la frequenza di tutti i tirocini </w:t>
      </w:r>
    </w:p>
    <w:p w14:paraId="0FD4C84F" w14:textId="285F1A18" w:rsidR="00CE786C" w:rsidRPr="00226489" w:rsidRDefault="00CE786C" w:rsidP="00AF3662">
      <w:pPr>
        <w:pStyle w:val="CorpoA"/>
        <w:jc w:val="both"/>
        <w:rPr>
          <w:rFonts w:asciiTheme="minorHAnsi" w:eastAsia="Tahoma" w:hAnsiTheme="minorHAnsi" w:cs="Tahoma"/>
        </w:rPr>
      </w:pPr>
      <w:r w:rsidRPr="00226489">
        <w:rPr>
          <w:rFonts w:asciiTheme="minorHAnsi" w:hAnsiTheme="minorHAnsi"/>
        </w:rPr>
        <w:t>• avere ottenuto, complessivamente 360 CFU (350 CFU + 10 CFU acquisiti per la</w:t>
      </w:r>
      <w:r w:rsidR="00385118" w:rsidRPr="00226489">
        <w:rPr>
          <w:rFonts w:asciiTheme="minorHAnsi" w:eastAsia="Tahoma" w:hAnsiTheme="minorHAnsi" w:cs="Tahoma"/>
        </w:rPr>
        <w:t xml:space="preserve"> </w:t>
      </w:r>
      <w:r w:rsidRPr="00226489">
        <w:rPr>
          <w:rFonts w:asciiTheme="minorHAnsi" w:hAnsiTheme="minorHAnsi"/>
        </w:rPr>
        <w:t>compilazione della tesi) articolati in 6 anni di corso</w:t>
      </w:r>
    </w:p>
    <w:p w14:paraId="7115346C" w14:textId="64076A74" w:rsidR="00CE786C" w:rsidRPr="00226489" w:rsidRDefault="00CE786C" w:rsidP="00AF3662">
      <w:pPr>
        <w:pStyle w:val="CorpoA"/>
        <w:jc w:val="both"/>
        <w:rPr>
          <w:rFonts w:asciiTheme="minorHAnsi" w:eastAsia="Tahoma" w:hAnsiTheme="minorHAnsi" w:cs="Tahoma"/>
        </w:rPr>
      </w:pPr>
      <w:r w:rsidRPr="00226489">
        <w:rPr>
          <w:rFonts w:asciiTheme="minorHAnsi" w:hAnsiTheme="minorHAnsi"/>
        </w:rPr>
        <w:t>• avere consegnato alla Segreteria Studenti</w:t>
      </w:r>
      <w:r w:rsidR="00385118" w:rsidRPr="00226489">
        <w:rPr>
          <w:rFonts w:asciiTheme="minorHAnsi" w:hAnsiTheme="minorHAnsi"/>
        </w:rPr>
        <w:t xml:space="preserve"> (se previsto, in modalità telematica)</w:t>
      </w:r>
      <w:r w:rsidRPr="00226489">
        <w:rPr>
          <w:rFonts w:asciiTheme="minorHAnsi" w:hAnsiTheme="minorHAnsi"/>
        </w:rPr>
        <w:t>:</w:t>
      </w:r>
    </w:p>
    <w:p w14:paraId="5588F624" w14:textId="7D5CBE46" w:rsidR="00CE786C" w:rsidRPr="00226489" w:rsidRDefault="00CE786C" w:rsidP="00AF3662">
      <w:pPr>
        <w:pStyle w:val="CorpoA"/>
        <w:jc w:val="both"/>
        <w:rPr>
          <w:rFonts w:asciiTheme="minorHAnsi" w:eastAsia="Tahoma" w:hAnsiTheme="minorHAnsi" w:cs="Tahoma"/>
        </w:rPr>
      </w:pPr>
      <w:r w:rsidRPr="00226489">
        <w:rPr>
          <w:rFonts w:asciiTheme="minorHAnsi" w:hAnsiTheme="minorHAnsi"/>
        </w:rPr>
        <w:t>- domanda indirizzata al Rettore almeno 15 giorni prima della seduta di Laurea</w:t>
      </w:r>
      <w:r w:rsidR="00385118" w:rsidRPr="00226489">
        <w:rPr>
          <w:rFonts w:asciiTheme="minorHAnsi" w:hAnsiTheme="minorHAnsi"/>
        </w:rPr>
        <w:t>;</w:t>
      </w:r>
    </w:p>
    <w:p w14:paraId="025793EE" w14:textId="69FC8401" w:rsidR="00CE786C" w:rsidRPr="00226489" w:rsidRDefault="00CE786C" w:rsidP="00AF3662">
      <w:pPr>
        <w:pStyle w:val="CorpoA"/>
        <w:jc w:val="both"/>
        <w:rPr>
          <w:rFonts w:asciiTheme="minorHAnsi" w:eastAsia="Tahoma" w:hAnsiTheme="minorHAnsi" w:cs="Tahoma"/>
        </w:rPr>
      </w:pPr>
      <w:r w:rsidRPr="00226489">
        <w:rPr>
          <w:rFonts w:asciiTheme="minorHAnsi" w:hAnsiTheme="minorHAnsi"/>
        </w:rPr>
        <w:t xml:space="preserve">- una copia della Tesi almeno </w:t>
      </w:r>
      <w:proofErr w:type="gramStart"/>
      <w:r w:rsidR="00385118" w:rsidRPr="00226489">
        <w:rPr>
          <w:rFonts w:asciiTheme="minorHAnsi" w:hAnsiTheme="minorHAnsi"/>
        </w:rPr>
        <w:t>7</w:t>
      </w:r>
      <w:proofErr w:type="gramEnd"/>
      <w:r w:rsidR="00385118" w:rsidRPr="00226489">
        <w:rPr>
          <w:rFonts w:asciiTheme="minorHAnsi" w:hAnsiTheme="minorHAnsi"/>
        </w:rPr>
        <w:t xml:space="preserve"> </w:t>
      </w:r>
      <w:r w:rsidRPr="00226489">
        <w:rPr>
          <w:rFonts w:asciiTheme="minorHAnsi" w:hAnsiTheme="minorHAnsi"/>
        </w:rPr>
        <w:t>giorni prima della seduta di Laurea</w:t>
      </w:r>
      <w:r w:rsidR="00385118" w:rsidRPr="00226489">
        <w:rPr>
          <w:rFonts w:asciiTheme="minorHAnsi" w:hAnsiTheme="minorHAnsi"/>
        </w:rPr>
        <w:t>;</w:t>
      </w:r>
    </w:p>
    <w:p w14:paraId="74D2C48F" w14:textId="1AD506A9" w:rsidR="00CE786C" w:rsidRPr="00226489" w:rsidRDefault="00CE786C" w:rsidP="00AF3662">
      <w:pPr>
        <w:pStyle w:val="CorpoA"/>
        <w:jc w:val="both"/>
        <w:rPr>
          <w:rFonts w:asciiTheme="minorHAnsi" w:eastAsia="Tahoma" w:hAnsiTheme="minorHAnsi" w:cs="Tahoma"/>
        </w:rPr>
      </w:pPr>
      <w:r w:rsidRPr="00226489">
        <w:rPr>
          <w:rFonts w:asciiTheme="minorHAnsi" w:hAnsiTheme="minorHAnsi"/>
        </w:rPr>
        <w:t>- certificazione di acquisite competenze cliniche</w:t>
      </w:r>
      <w:r w:rsidR="00385118" w:rsidRPr="00226489">
        <w:rPr>
          <w:rFonts w:asciiTheme="minorHAnsi" w:hAnsiTheme="minorHAnsi"/>
        </w:rPr>
        <w:t xml:space="preserve"> (al termine del tirocinio pratico-valutativo)</w:t>
      </w:r>
      <w:r w:rsidRPr="00226489">
        <w:rPr>
          <w:rFonts w:asciiTheme="minorHAnsi" w:hAnsiTheme="minorHAnsi"/>
        </w:rPr>
        <w:t>.</w:t>
      </w:r>
    </w:p>
    <w:p w14:paraId="66CA1E57" w14:textId="77777777" w:rsidR="00CE786C" w:rsidRPr="00226489" w:rsidRDefault="00CE786C" w:rsidP="00AF3662">
      <w:pPr>
        <w:pStyle w:val="CorpoA"/>
        <w:jc w:val="both"/>
        <w:rPr>
          <w:rFonts w:asciiTheme="minorHAnsi" w:eastAsia="Tahoma" w:hAnsiTheme="minorHAnsi" w:cs="Tahoma"/>
        </w:rPr>
      </w:pPr>
    </w:p>
    <w:p w14:paraId="5DDF49EE" w14:textId="4774B30B" w:rsidR="00CE786C" w:rsidRPr="00226489" w:rsidRDefault="00CE786C" w:rsidP="00AF3662">
      <w:pPr>
        <w:pStyle w:val="CorpoA"/>
        <w:jc w:val="both"/>
        <w:rPr>
          <w:rFonts w:asciiTheme="minorHAnsi" w:eastAsia="Tahoma" w:hAnsiTheme="minorHAnsi" w:cs="Tahoma"/>
        </w:rPr>
      </w:pPr>
      <w:r w:rsidRPr="00226489">
        <w:rPr>
          <w:rFonts w:asciiTheme="minorHAnsi" w:eastAsia="Tahoma" w:hAnsiTheme="minorHAnsi" w:cs="Tahoma"/>
        </w:rPr>
        <w:t>PREPARAZIONE</w:t>
      </w:r>
    </w:p>
    <w:p w14:paraId="65EF81BE" w14:textId="6F71B99C" w:rsidR="00CE786C" w:rsidRPr="00226489" w:rsidRDefault="00CE786C" w:rsidP="00AF3662">
      <w:pPr>
        <w:pStyle w:val="CorpoA"/>
        <w:numPr>
          <w:ilvl w:val="0"/>
          <w:numId w:val="2"/>
        </w:numPr>
        <w:jc w:val="both"/>
        <w:rPr>
          <w:rFonts w:asciiTheme="minorHAnsi" w:hAnsiTheme="minorHAnsi"/>
        </w:rPr>
      </w:pPr>
      <w:r w:rsidRPr="00226489">
        <w:rPr>
          <w:rFonts w:asciiTheme="minorHAnsi" w:hAnsiTheme="minorHAnsi"/>
        </w:rPr>
        <w:t xml:space="preserve">L’esame di laurea verte sulla discussione di una tesi elaborata in modo originale dallo studente sotto la guida di un </w:t>
      </w:r>
      <w:r w:rsidR="00385118" w:rsidRPr="00226489">
        <w:rPr>
          <w:rFonts w:asciiTheme="minorHAnsi" w:hAnsiTheme="minorHAnsi"/>
        </w:rPr>
        <w:t xml:space="preserve">docente </w:t>
      </w:r>
      <w:r w:rsidRPr="00226489">
        <w:rPr>
          <w:rFonts w:asciiTheme="minorHAnsi" w:hAnsiTheme="minorHAnsi"/>
        </w:rPr>
        <w:t>relatore. Può essere prevista la figura di un secondo relatore. Il primo relatore può essere un Professore di Prima o Seconda Fascia, un Ricercatore Universitario o un docente a contratto titolare di un modulo di insegnamento nell’anno accademico in corso. Il secondo relatore può essere un Professore di Prima o Seconda Fascia, un Ricercatore Universitario, un docente a contratto titolare di un modulo di insegnamento o di attività didattica integrativa nell’anno accademico in corso, un tutor dell’anno accademico in corso. Il secondo relatore, se non risponde ai requisiti necessari a far parte della Commissione giudicatrice della prova finale può partecipare alla seduta pubblica ma non alla valutazione dei candidati. La discussione della tesi prevede la figura di un contro-relatore nominato tra i Professori di Prima o Seconda Fascia, i Ricercatori Universitari o i docenti a contratto facenti parte della Commissione giudicatrice.</w:t>
      </w:r>
    </w:p>
    <w:p w14:paraId="25DAA422" w14:textId="77777777" w:rsidR="00CE786C" w:rsidRPr="00226489" w:rsidRDefault="00CE786C" w:rsidP="00AF3662">
      <w:pPr>
        <w:pStyle w:val="CorpoA"/>
        <w:numPr>
          <w:ilvl w:val="0"/>
          <w:numId w:val="2"/>
        </w:numPr>
        <w:jc w:val="both"/>
        <w:rPr>
          <w:rFonts w:asciiTheme="minorHAnsi" w:hAnsiTheme="minorHAnsi"/>
        </w:rPr>
      </w:pPr>
      <w:r w:rsidRPr="00226489">
        <w:rPr>
          <w:rFonts w:asciiTheme="minorHAnsi" w:hAnsiTheme="minorHAnsi"/>
        </w:rPr>
        <w:t>A scelta del candidato, la tesi può essere elaborata anche in lingua straniera.</w:t>
      </w:r>
    </w:p>
    <w:p w14:paraId="03E94776" w14:textId="1D38C497" w:rsidR="00CE786C" w:rsidRPr="00226489" w:rsidRDefault="00CE786C" w:rsidP="00AF3662">
      <w:pPr>
        <w:pStyle w:val="CorpoA"/>
        <w:numPr>
          <w:ilvl w:val="0"/>
          <w:numId w:val="2"/>
        </w:numPr>
        <w:jc w:val="both"/>
        <w:rPr>
          <w:rFonts w:asciiTheme="minorHAnsi" w:hAnsiTheme="minorHAnsi"/>
        </w:rPr>
      </w:pPr>
      <w:r w:rsidRPr="00226489">
        <w:rPr>
          <w:rFonts w:asciiTheme="minorHAnsi" w:hAnsiTheme="minorHAnsi"/>
        </w:rPr>
        <w:t>Per essere ammesso a sostenere l’esame di laurea, lo studente deve aver sostenuto tutti gli esami previsti dal Piano degli Studi ed espletato tutte le attività formative professionalizzanti. Deve inoltre aver consegnato nei tempi e con le modalità definite dalla Segreteria Studenti apposita domanda rivolta al Magnifico Rettore e documentazione conseguente. I dettagli relativi alla documentazione necessaria per la richiesta sono disponibili sul portale d’Ateneo alla sezione “Segreterie Studenti”.</w:t>
      </w:r>
    </w:p>
    <w:p w14:paraId="1586CE0D" w14:textId="77777777" w:rsidR="00CE786C" w:rsidRPr="00226489" w:rsidRDefault="00CE786C" w:rsidP="00AF3662">
      <w:pPr>
        <w:pStyle w:val="CorpoA"/>
        <w:jc w:val="both"/>
        <w:rPr>
          <w:rFonts w:asciiTheme="minorHAnsi" w:hAnsiTheme="minorHAnsi"/>
        </w:rPr>
      </w:pPr>
    </w:p>
    <w:p w14:paraId="3CCFECFE" w14:textId="77777777" w:rsidR="00CE786C" w:rsidRPr="00226489" w:rsidRDefault="00CE786C" w:rsidP="00AF3662">
      <w:pPr>
        <w:pStyle w:val="CorpoA"/>
        <w:jc w:val="both"/>
        <w:rPr>
          <w:rFonts w:asciiTheme="minorHAnsi" w:hAnsiTheme="minorHAnsi"/>
        </w:rPr>
      </w:pPr>
    </w:p>
    <w:p w14:paraId="490BF938" w14:textId="16D27125" w:rsidR="00EF075A" w:rsidRPr="00226489" w:rsidRDefault="00EF075A"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Bold" w:cs="Tahoma Bold"/>
          <w:b/>
          <w:bCs/>
          <w:u w:val="single"/>
        </w:rPr>
      </w:pPr>
      <w:r w:rsidRPr="00347668">
        <w:rPr>
          <w:b/>
          <w:bCs/>
          <w:highlight w:val="yellow"/>
          <w:u w:val="single"/>
        </w:rPr>
        <w:t xml:space="preserve">QUADRO A5.b - </w:t>
      </w:r>
      <w:proofErr w:type="spellStart"/>
      <w:r w:rsidRPr="00347668">
        <w:rPr>
          <w:b/>
          <w:bCs/>
          <w:highlight w:val="yellow"/>
          <w:u w:val="single"/>
        </w:rPr>
        <w:t>Modalita</w:t>
      </w:r>
      <w:proofErr w:type="spellEnd"/>
      <w:r w:rsidRPr="00347668">
        <w:rPr>
          <w:b/>
          <w:bCs/>
          <w:highlight w:val="yellow"/>
          <w:u w:val="single"/>
        </w:rPr>
        <w:t>̀ di svolgimento della prova finale</w:t>
      </w:r>
      <w:r w:rsidR="00347668" w:rsidRPr="00347668">
        <w:rPr>
          <w:b/>
          <w:bCs/>
          <w:highlight w:val="yellow"/>
          <w:u w:val="single"/>
        </w:rPr>
        <w:t xml:space="preserve"> (AGGIORNATO)</w:t>
      </w:r>
    </w:p>
    <w:p w14:paraId="1388293D" w14:textId="77777777" w:rsidR="00EF075A" w:rsidRPr="00226489" w:rsidRDefault="00EF075A"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hyperlink r:id="rId9" w:history="1">
        <w:r w:rsidRPr="00226489">
          <w:rPr>
            <w:rStyle w:val="Collegamentoipertestuale"/>
            <w:rFonts w:eastAsia="Tahoma" w:cs="Tahoma"/>
          </w:rPr>
          <w:t>https://medicina.unicz.it/corso_studio/odontoiatria_protesi_dentaria/regolamento_didattico</w:t>
        </w:r>
      </w:hyperlink>
    </w:p>
    <w:p w14:paraId="0E689159" w14:textId="0FC38E24" w:rsidR="00EF075A" w:rsidRPr="00226489" w:rsidRDefault="00EF075A" w:rsidP="00AF3662">
      <w:pPr>
        <w:pStyle w:val="CorpoA"/>
        <w:jc w:val="both"/>
        <w:rPr>
          <w:rFonts w:asciiTheme="minorHAnsi" w:hAnsiTheme="minorHAnsi"/>
        </w:rPr>
      </w:pPr>
      <w:r w:rsidRPr="00226489">
        <w:rPr>
          <w:rFonts w:asciiTheme="minorHAnsi" w:hAnsiTheme="minorHAnsi"/>
        </w:rPr>
        <w:lastRenderedPageBreak/>
        <w:t>La Commissione giudicatrice della prova finale abilitata al conferimento del titolo è nominata dal Presidente della Scuola di Medicina e Chirurgia ed è composta da almeno sette membri tra Professori di Prima e Seconda Fascia e Ricercatori Universitari. Almeno un membro della Commissione deve essere un Professore di Prima Fascia. Possono far parte della Commissione i docenti a contratto titolari di un modulo di insegnamento qualora relatori di tesi o come membri supplenti in caso di indisponibilità del personale di ruolo. Il Presidente della Commissione Giudicatrice della prova finale coincide con il Presidente del CLOPD o con un Professore di I Fascia.</w:t>
      </w:r>
    </w:p>
    <w:p w14:paraId="545CEB52" w14:textId="77777777" w:rsidR="00CE786C" w:rsidRPr="00226489" w:rsidRDefault="00CE786C" w:rsidP="00AF3662">
      <w:pPr>
        <w:pStyle w:val="CorpoA"/>
        <w:jc w:val="both"/>
        <w:rPr>
          <w:rFonts w:asciiTheme="minorHAnsi" w:hAnsiTheme="minorHAnsi"/>
        </w:rPr>
      </w:pPr>
    </w:p>
    <w:p w14:paraId="5C9CAA38" w14:textId="77F7614B" w:rsidR="00EF075A" w:rsidRPr="00226489" w:rsidRDefault="00EF075A" w:rsidP="00AF3662">
      <w:pPr>
        <w:pStyle w:val="CorpoA"/>
        <w:jc w:val="both"/>
        <w:rPr>
          <w:rFonts w:asciiTheme="minorHAnsi" w:hAnsiTheme="minorHAnsi"/>
        </w:rPr>
      </w:pPr>
      <w:r w:rsidRPr="00226489">
        <w:rPr>
          <w:rFonts w:asciiTheme="minorHAnsi" w:hAnsiTheme="minorHAnsi"/>
        </w:rPr>
        <w:t>L'esame di Laurea si svolge nei medesimi periodi delle sessioni degli esami di profitto.</w:t>
      </w:r>
    </w:p>
    <w:p w14:paraId="013B0A9A" w14:textId="77777777" w:rsidR="00EF075A" w:rsidRPr="00226489" w:rsidRDefault="00EF075A" w:rsidP="00AF3662">
      <w:pPr>
        <w:pStyle w:val="CorpoA"/>
        <w:jc w:val="both"/>
        <w:rPr>
          <w:rFonts w:asciiTheme="minorHAnsi" w:hAnsiTheme="minorHAnsi"/>
        </w:rPr>
      </w:pPr>
      <w:r w:rsidRPr="00226489">
        <w:rPr>
          <w:rFonts w:asciiTheme="minorHAnsi" w:hAnsiTheme="minorHAnsi"/>
        </w:rPr>
        <w:t>A determinare il voto di laurea, espresso in centodecimi, contribuiranno i seguenti parametri:</w:t>
      </w:r>
    </w:p>
    <w:p w14:paraId="51126AC5" w14:textId="3C069FCD" w:rsidR="00EF075A" w:rsidRPr="00226489" w:rsidRDefault="00EF075A" w:rsidP="00AF3662">
      <w:pPr>
        <w:pStyle w:val="CorpoA"/>
        <w:jc w:val="both"/>
        <w:rPr>
          <w:rFonts w:asciiTheme="minorHAnsi" w:hAnsiTheme="minorHAnsi"/>
        </w:rPr>
      </w:pPr>
      <w:r w:rsidRPr="00226489">
        <w:rPr>
          <w:rFonts w:asciiTheme="minorHAnsi" w:hAnsiTheme="minorHAnsi"/>
        </w:rPr>
        <w:t>a)</w:t>
      </w:r>
      <w:r w:rsidR="00CE786C" w:rsidRPr="00226489">
        <w:rPr>
          <w:rFonts w:asciiTheme="minorHAnsi" w:hAnsiTheme="minorHAnsi"/>
        </w:rPr>
        <w:t xml:space="preserve"> </w:t>
      </w:r>
      <w:r w:rsidRPr="00226489">
        <w:rPr>
          <w:rFonts w:asciiTheme="minorHAnsi" w:hAnsiTheme="minorHAnsi"/>
        </w:rPr>
        <w:t>voto di presentazione derivato dalla la media non ponderata dei voti conseguiti negli esami curriculari, espressa in cento decimi (media x 110/30, approssimato per eccesso);</w:t>
      </w:r>
    </w:p>
    <w:p w14:paraId="4A96E394" w14:textId="17C14924" w:rsidR="00EF075A" w:rsidRPr="00226489" w:rsidRDefault="00EF075A" w:rsidP="00AF3662">
      <w:pPr>
        <w:pStyle w:val="CorpoA"/>
        <w:jc w:val="both"/>
        <w:rPr>
          <w:rFonts w:asciiTheme="minorHAnsi" w:hAnsiTheme="minorHAnsi"/>
        </w:rPr>
      </w:pPr>
      <w:r w:rsidRPr="00226489">
        <w:rPr>
          <w:rFonts w:asciiTheme="minorHAnsi" w:hAnsiTheme="minorHAnsi"/>
        </w:rPr>
        <w:t>b)</w:t>
      </w:r>
      <w:r w:rsidR="00CE786C" w:rsidRPr="00226489">
        <w:rPr>
          <w:rFonts w:asciiTheme="minorHAnsi" w:hAnsiTheme="minorHAnsi"/>
        </w:rPr>
        <w:t xml:space="preserve"> </w:t>
      </w:r>
      <w:r w:rsidRPr="00226489">
        <w:rPr>
          <w:rFonts w:asciiTheme="minorHAnsi" w:hAnsiTheme="minorHAnsi"/>
        </w:rPr>
        <w:t>punteggio attribuito dalla Commissione di Laurea in sede di discussione della tesi (massimo 11 punti per tesi sperimentale, massimo 6 punti per tesi non sperimentale);</w:t>
      </w:r>
    </w:p>
    <w:p w14:paraId="19A58C2B" w14:textId="73DA6080" w:rsidR="00EF075A" w:rsidRPr="00226489" w:rsidRDefault="00EF075A" w:rsidP="00AF3662">
      <w:pPr>
        <w:pStyle w:val="CorpoA"/>
        <w:jc w:val="both"/>
        <w:rPr>
          <w:rFonts w:asciiTheme="minorHAnsi" w:hAnsiTheme="minorHAnsi"/>
        </w:rPr>
      </w:pPr>
      <w:r w:rsidRPr="00226489">
        <w:rPr>
          <w:rFonts w:asciiTheme="minorHAnsi" w:hAnsiTheme="minorHAnsi"/>
        </w:rPr>
        <w:t>c)</w:t>
      </w:r>
      <w:r w:rsidR="00CE786C" w:rsidRPr="00226489">
        <w:rPr>
          <w:rFonts w:asciiTheme="minorHAnsi" w:hAnsiTheme="minorHAnsi"/>
        </w:rPr>
        <w:t xml:space="preserve"> </w:t>
      </w:r>
      <w:r w:rsidRPr="00226489">
        <w:rPr>
          <w:rFonts w:asciiTheme="minorHAnsi" w:hAnsiTheme="minorHAnsi"/>
        </w:rPr>
        <w:t xml:space="preserve">i punti attributi per la durata del corso (in corso/fuori corso): punteggio massimo </w:t>
      </w:r>
      <w:proofErr w:type="gramStart"/>
      <w:r w:rsidRPr="00226489">
        <w:rPr>
          <w:rFonts w:asciiTheme="minorHAnsi" w:hAnsiTheme="minorHAnsi"/>
        </w:rPr>
        <w:t>3</w:t>
      </w:r>
      <w:proofErr w:type="gramEnd"/>
      <w:r w:rsidRPr="00226489">
        <w:rPr>
          <w:rFonts w:asciiTheme="minorHAnsi" w:hAnsiTheme="minorHAnsi"/>
        </w:rPr>
        <w:t xml:space="preserve"> punti;</w:t>
      </w:r>
    </w:p>
    <w:p w14:paraId="7EFF1A92" w14:textId="0BBCE43F" w:rsidR="00EF075A" w:rsidRPr="00226489" w:rsidRDefault="00EF075A" w:rsidP="00AF3662">
      <w:pPr>
        <w:pStyle w:val="CorpoA"/>
        <w:jc w:val="both"/>
        <w:rPr>
          <w:rFonts w:asciiTheme="minorHAnsi" w:hAnsiTheme="minorHAnsi"/>
        </w:rPr>
      </w:pPr>
      <w:r w:rsidRPr="00226489">
        <w:rPr>
          <w:rFonts w:asciiTheme="minorHAnsi" w:hAnsiTheme="minorHAnsi"/>
        </w:rPr>
        <w:t>d)</w:t>
      </w:r>
      <w:r w:rsidR="00CE786C" w:rsidRPr="00226489">
        <w:rPr>
          <w:rFonts w:asciiTheme="minorHAnsi" w:hAnsiTheme="minorHAnsi"/>
        </w:rPr>
        <w:t xml:space="preserve"> </w:t>
      </w:r>
      <w:r w:rsidRPr="00226489">
        <w:rPr>
          <w:rFonts w:asciiTheme="minorHAnsi" w:hAnsiTheme="minorHAnsi"/>
        </w:rPr>
        <w:t>i punti per le lodi ottenute negli esami di profitto: numero lodi ≥4, punti 1;</w:t>
      </w:r>
    </w:p>
    <w:p w14:paraId="1BAB41C9" w14:textId="01AE0A25" w:rsidR="00EF075A" w:rsidRPr="00226489" w:rsidRDefault="00EF075A" w:rsidP="00AF3662">
      <w:pPr>
        <w:pStyle w:val="CorpoA"/>
        <w:jc w:val="both"/>
        <w:rPr>
          <w:rFonts w:asciiTheme="minorHAnsi" w:hAnsiTheme="minorHAnsi"/>
        </w:rPr>
      </w:pPr>
      <w:r w:rsidRPr="00226489">
        <w:rPr>
          <w:rFonts w:asciiTheme="minorHAnsi" w:hAnsiTheme="minorHAnsi"/>
        </w:rPr>
        <w:t>e)</w:t>
      </w:r>
      <w:r w:rsidR="00CE786C" w:rsidRPr="00226489">
        <w:rPr>
          <w:rFonts w:asciiTheme="minorHAnsi" w:hAnsiTheme="minorHAnsi"/>
        </w:rPr>
        <w:t xml:space="preserve"> </w:t>
      </w:r>
      <w:r w:rsidRPr="00226489">
        <w:rPr>
          <w:rFonts w:asciiTheme="minorHAnsi" w:hAnsiTheme="minorHAnsi"/>
        </w:rPr>
        <w:t>i punti per coinvolgimento in programmi di scambio internazionale: 1 punto per ogni 3 mesi di soggiorno all'estero (massimo 3 punti).</w:t>
      </w:r>
    </w:p>
    <w:p w14:paraId="50B405A1" w14:textId="77777777" w:rsidR="00CE786C" w:rsidRPr="00226489" w:rsidRDefault="00CE786C" w:rsidP="00AF3662">
      <w:pPr>
        <w:pStyle w:val="CorpoA"/>
        <w:jc w:val="both"/>
        <w:rPr>
          <w:rFonts w:asciiTheme="minorHAnsi" w:hAnsiTheme="minorHAnsi"/>
        </w:rPr>
      </w:pPr>
    </w:p>
    <w:p w14:paraId="76A9B618" w14:textId="77777777" w:rsidR="00347668" w:rsidRDefault="00347668" w:rsidP="00AF3662">
      <w:pPr>
        <w:pStyle w:val="CorpoA"/>
        <w:jc w:val="both"/>
        <w:rPr>
          <w:rFonts w:asciiTheme="minorHAnsi" w:hAnsiTheme="minorHAnsi"/>
        </w:rPr>
      </w:pPr>
      <w:r w:rsidRPr="00347668">
        <w:rPr>
          <w:rFonts w:asciiTheme="minorHAnsi" w:hAnsiTheme="minorHAnsi"/>
          <w:highlight w:val="yellow"/>
        </w:rPr>
        <w:t xml:space="preserve">L’effettivo carattere sperimentale della tesi elaborata dallo studente sarà valutato da un’apposita commissione, nominata dal CCdS, composta dal Presidente del CdS e da almeno </w:t>
      </w:r>
      <w:proofErr w:type="gramStart"/>
      <w:r w:rsidRPr="00347668">
        <w:rPr>
          <w:rFonts w:asciiTheme="minorHAnsi" w:hAnsiTheme="minorHAnsi"/>
          <w:highlight w:val="yellow"/>
        </w:rPr>
        <w:t>3</w:t>
      </w:r>
      <w:proofErr w:type="gramEnd"/>
      <w:r w:rsidRPr="00347668">
        <w:rPr>
          <w:rFonts w:asciiTheme="minorHAnsi" w:hAnsiTheme="minorHAnsi"/>
          <w:highlight w:val="yellow"/>
        </w:rPr>
        <w:t xml:space="preserve"> docenti, nella settimana precedente alla prova finale. In caso di impedimenti alla valutazione delle tesi nei tempi sopraindicati, la Commissione giudicatrice della prova finale provvederà a effettuarla in sede di discussione della tesi.</w:t>
      </w:r>
    </w:p>
    <w:p w14:paraId="23DEB617" w14:textId="77777777" w:rsidR="00347668" w:rsidRDefault="00347668" w:rsidP="00AF3662">
      <w:pPr>
        <w:pStyle w:val="CorpoA"/>
        <w:jc w:val="both"/>
        <w:rPr>
          <w:rFonts w:asciiTheme="minorHAnsi" w:hAnsiTheme="minorHAnsi"/>
        </w:rPr>
      </w:pPr>
    </w:p>
    <w:p w14:paraId="7EFF0DC4" w14:textId="67BB9F64" w:rsidR="00EF075A" w:rsidRPr="00226489" w:rsidRDefault="00EF075A" w:rsidP="00AF3662">
      <w:pPr>
        <w:pStyle w:val="CorpoA"/>
        <w:jc w:val="both"/>
        <w:rPr>
          <w:rFonts w:asciiTheme="minorHAnsi" w:hAnsiTheme="minorHAnsi"/>
        </w:rPr>
      </w:pPr>
      <w:r w:rsidRPr="00226489">
        <w:rPr>
          <w:rFonts w:asciiTheme="minorHAnsi" w:hAnsiTheme="minorHAnsi"/>
        </w:rPr>
        <w:t>In relazione al punto c) si specifica quanto segue:</w:t>
      </w:r>
    </w:p>
    <w:p w14:paraId="19C0205A" w14:textId="6A295343" w:rsidR="00EF075A" w:rsidRPr="00226489" w:rsidRDefault="00EF075A" w:rsidP="00AF3662">
      <w:pPr>
        <w:pStyle w:val="CorpoA"/>
        <w:jc w:val="both"/>
        <w:rPr>
          <w:rFonts w:asciiTheme="minorHAnsi" w:hAnsiTheme="minorHAnsi"/>
        </w:rPr>
      </w:pPr>
      <w:r w:rsidRPr="00226489">
        <w:rPr>
          <w:rFonts w:asciiTheme="minorHAnsi" w:hAnsiTheme="minorHAnsi"/>
        </w:rPr>
        <w:t>-</w:t>
      </w:r>
      <w:r w:rsidR="00CE786C" w:rsidRPr="00226489">
        <w:rPr>
          <w:rFonts w:asciiTheme="minorHAnsi" w:hAnsiTheme="minorHAnsi"/>
        </w:rPr>
        <w:t xml:space="preserve"> </w:t>
      </w:r>
      <w:r w:rsidRPr="00226489">
        <w:rPr>
          <w:rFonts w:asciiTheme="minorHAnsi" w:hAnsiTheme="minorHAnsi"/>
        </w:rPr>
        <w:t xml:space="preserve">laurea nella sessione estiva (prima sessione utile), punti 3; </w:t>
      </w:r>
    </w:p>
    <w:p w14:paraId="7AA5D1D1" w14:textId="22629475" w:rsidR="00EF075A" w:rsidRPr="00226489" w:rsidRDefault="00EF075A" w:rsidP="00AF3662">
      <w:pPr>
        <w:pStyle w:val="CorpoA"/>
        <w:jc w:val="both"/>
        <w:rPr>
          <w:rFonts w:asciiTheme="minorHAnsi" w:hAnsiTheme="minorHAnsi"/>
        </w:rPr>
      </w:pPr>
      <w:r w:rsidRPr="00226489">
        <w:rPr>
          <w:rFonts w:asciiTheme="minorHAnsi" w:hAnsiTheme="minorHAnsi"/>
        </w:rPr>
        <w:t>-</w:t>
      </w:r>
      <w:r w:rsidR="00CE786C" w:rsidRPr="00226489">
        <w:rPr>
          <w:rFonts w:asciiTheme="minorHAnsi" w:hAnsiTheme="minorHAnsi"/>
        </w:rPr>
        <w:t xml:space="preserve"> </w:t>
      </w:r>
      <w:r w:rsidRPr="00226489">
        <w:rPr>
          <w:rFonts w:asciiTheme="minorHAnsi" w:hAnsiTheme="minorHAnsi"/>
        </w:rPr>
        <w:t>laurea nella sessione autunnale (seconda sessione utile), punti 2;</w:t>
      </w:r>
    </w:p>
    <w:p w14:paraId="466F36D0" w14:textId="297F5979" w:rsidR="00EF075A" w:rsidRPr="00226489" w:rsidRDefault="00EF075A" w:rsidP="00AF3662">
      <w:pPr>
        <w:pStyle w:val="CorpoA"/>
        <w:jc w:val="both"/>
        <w:rPr>
          <w:rFonts w:asciiTheme="minorHAnsi" w:hAnsiTheme="minorHAnsi"/>
        </w:rPr>
      </w:pPr>
      <w:r w:rsidRPr="00226489">
        <w:rPr>
          <w:rFonts w:asciiTheme="minorHAnsi" w:hAnsiTheme="minorHAnsi"/>
        </w:rPr>
        <w:t>-</w:t>
      </w:r>
      <w:r w:rsidR="00CE786C" w:rsidRPr="00226489">
        <w:rPr>
          <w:rFonts w:asciiTheme="minorHAnsi" w:hAnsiTheme="minorHAnsi"/>
        </w:rPr>
        <w:t xml:space="preserve"> </w:t>
      </w:r>
      <w:r w:rsidRPr="00226489">
        <w:rPr>
          <w:rFonts w:asciiTheme="minorHAnsi" w:hAnsiTheme="minorHAnsi"/>
        </w:rPr>
        <w:t>laurea nella sessione invernale (sessione di recupero), punti 1.</w:t>
      </w:r>
    </w:p>
    <w:p w14:paraId="33969504" w14:textId="77777777" w:rsidR="00EF075A" w:rsidRPr="00226489" w:rsidRDefault="00EF075A" w:rsidP="00AF3662">
      <w:pPr>
        <w:pStyle w:val="CorpoA"/>
        <w:jc w:val="both"/>
        <w:rPr>
          <w:rFonts w:asciiTheme="minorHAnsi" w:hAnsiTheme="minorHAnsi"/>
        </w:rPr>
      </w:pPr>
      <w:r w:rsidRPr="00226489">
        <w:rPr>
          <w:rFonts w:asciiTheme="minorHAnsi" w:hAnsiTheme="minorHAnsi"/>
        </w:rPr>
        <w:t>In relazione ai punti c), d), e) si specifica che complessivamente tali punteggi non potranno superare complessivamente i 4 punti.</w:t>
      </w:r>
    </w:p>
    <w:p w14:paraId="32DF90EC" w14:textId="77777777" w:rsidR="00EF075A" w:rsidRPr="00226489" w:rsidRDefault="00EF075A" w:rsidP="00AF3662">
      <w:pPr>
        <w:pStyle w:val="CorpoA"/>
        <w:jc w:val="both"/>
        <w:rPr>
          <w:rFonts w:asciiTheme="minorHAnsi" w:hAnsiTheme="minorHAnsi"/>
        </w:rPr>
      </w:pPr>
    </w:p>
    <w:p w14:paraId="45C778BD" w14:textId="77777777" w:rsidR="00EF075A" w:rsidRPr="00226489" w:rsidRDefault="00EF075A" w:rsidP="00AF3662">
      <w:pPr>
        <w:pStyle w:val="CorpoA"/>
        <w:jc w:val="both"/>
        <w:rPr>
          <w:rFonts w:asciiTheme="minorHAnsi" w:hAnsiTheme="minorHAnsi"/>
        </w:rPr>
      </w:pPr>
      <w:r w:rsidRPr="00226489">
        <w:rPr>
          <w:rFonts w:asciiTheme="minorHAnsi" w:hAnsiTheme="minorHAnsi"/>
        </w:rPr>
        <w:t>Si specifica inoltre che l’attribuzione della lode è consentita solo per i candidati il cui voto di presentazione è pari o superiore a 100/110 oppure a 99/110 + 4 punti aggiuntivi, con il parere unanime della Commissione.</w:t>
      </w:r>
    </w:p>
    <w:p w14:paraId="106FBDAF" w14:textId="77777777" w:rsidR="00EF075A" w:rsidRDefault="00EF075A" w:rsidP="00AF3662">
      <w:pPr>
        <w:pStyle w:val="CorpoA"/>
        <w:jc w:val="both"/>
        <w:rPr>
          <w:rFonts w:asciiTheme="minorHAnsi" w:hAnsiTheme="minorHAnsi"/>
        </w:rPr>
      </w:pPr>
      <w:r w:rsidRPr="00226489">
        <w:rPr>
          <w:rFonts w:asciiTheme="minorHAnsi" w:hAnsiTheme="minorHAnsi"/>
        </w:rPr>
        <w:t>La menzione sarà attribuita all’unanimità dalla Commissione solo per i candidati il cui voto di presentazione è pari o superiore a 105/110 senza punteggi aggiuntivi.</w:t>
      </w:r>
    </w:p>
    <w:p w14:paraId="546E527C" w14:textId="77777777" w:rsidR="00347668" w:rsidRDefault="00347668" w:rsidP="00AF3662">
      <w:pPr>
        <w:pStyle w:val="CorpoA"/>
        <w:jc w:val="both"/>
        <w:rPr>
          <w:rFonts w:asciiTheme="minorHAnsi" w:hAnsiTheme="minorHAnsi"/>
        </w:rPr>
      </w:pPr>
    </w:p>
    <w:p w14:paraId="0DF49D23" w14:textId="54EA7697" w:rsidR="00347668" w:rsidRPr="00226489" w:rsidRDefault="00347668" w:rsidP="00AF3662">
      <w:pPr>
        <w:pStyle w:val="CorpoA"/>
        <w:jc w:val="both"/>
        <w:rPr>
          <w:rFonts w:asciiTheme="minorHAnsi" w:hAnsiTheme="minorHAnsi"/>
        </w:rPr>
      </w:pPr>
      <w:r w:rsidRPr="00347668">
        <w:rPr>
          <w:rFonts w:asciiTheme="minorHAnsi" w:hAnsiTheme="minorHAnsi"/>
          <w:highlight w:val="yellow"/>
        </w:rPr>
        <w:t xml:space="preserve">Ai sensi degli articoli 1 e 3 della legge 8 novembre 2021, n. 163, l’esame finale per il conseguimento della laurea magistrale a ciclo unico in Odontoiatria e protesi dentaria - classe LM-46 abilita all’esercizio della professione di odontoiatra a partire dalla coorte 2022-2023. A tal fine, il </w:t>
      </w:r>
      <w:proofErr w:type="gramStart"/>
      <w:r w:rsidRPr="00347668">
        <w:rPr>
          <w:rFonts w:asciiTheme="minorHAnsi" w:hAnsiTheme="minorHAnsi"/>
          <w:highlight w:val="yellow"/>
        </w:rPr>
        <w:t>predetto</w:t>
      </w:r>
      <w:proofErr w:type="gramEnd"/>
      <w:r w:rsidRPr="00347668">
        <w:rPr>
          <w:rFonts w:asciiTheme="minorHAnsi" w:hAnsiTheme="minorHAnsi"/>
          <w:highlight w:val="yellow"/>
        </w:rPr>
        <w:t xml:space="preserve"> esame finale comprende lo svolgimento di una prova pratica valutativa delle competenze professionali acquisite con il tirocinio interno ai corsi di studio, volta ad accertare il livello di preparazione pratica del candidato per l’abilitazione all’esercizio della professione, che precede la discussione della tesi di laurea.</w:t>
      </w:r>
    </w:p>
    <w:p w14:paraId="29CC9FF1" w14:textId="77777777" w:rsidR="00EF075A" w:rsidRPr="00226489" w:rsidRDefault="00EF075A" w:rsidP="00AF3662">
      <w:pPr>
        <w:pStyle w:val="CorpoA"/>
        <w:jc w:val="both"/>
        <w:rPr>
          <w:rFonts w:asciiTheme="minorHAnsi" w:hAnsiTheme="minorHAnsi"/>
        </w:rPr>
      </w:pPr>
    </w:p>
    <w:p w14:paraId="7876AC9E" w14:textId="77777777" w:rsidR="00EF075A" w:rsidRPr="00226489" w:rsidRDefault="00EF075A" w:rsidP="00AF3662">
      <w:pPr>
        <w:pStyle w:val="CorpoA"/>
        <w:jc w:val="both"/>
        <w:rPr>
          <w:rFonts w:asciiTheme="minorHAnsi" w:hAnsiTheme="minorHAnsi"/>
        </w:rPr>
      </w:pPr>
      <w:r w:rsidRPr="00226489">
        <w:rPr>
          <w:rFonts w:asciiTheme="minorHAnsi" w:hAnsiTheme="minorHAnsi"/>
        </w:rPr>
        <w:t>PROVA PRATICA VALUTATIVA</w:t>
      </w:r>
    </w:p>
    <w:p w14:paraId="7BC91704" w14:textId="49D34F57" w:rsidR="00EF075A" w:rsidRPr="00226489" w:rsidRDefault="00EF075A" w:rsidP="00AF3662">
      <w:pPr>
        <w:pStyle w:val="CorpoA"/>
        <w:jc w:val="both"/>
        <w:rPr>
          <w:rFonts w:asciiTheme="minorHAnsi" w:hAnsiTheme="minorHAnsi"/>
        </w:rPr>
      </w:pPr>
      <w:r w:rsidRPr="00226489">
        <w:rPr>
          <w:rFonts w:asciiTheme="minorHAnsi" w:hAnsiTheme="minorHAnsi"/>
        </w:rPr>
        <w:t xml:space="preserve">1. A partire dalla coorte 2022/2023 (esame finale </w:t>
      </w:r>
      <w:r w:rsidR="00226489">
        <w:rPr>
          <w:rFonts w:asciiTheme="minorHAnsi" w:hAnsiTheme="minorHAnsi"/>
        </w:rPr>
        <w:t>nell’</w:t>
      </w:r>
      <w:r w:rsidRPr="00226489">
        <w:rPr>
          <w:rFonts w:asciiTheme="minorHAnsi" w:hAnsiTheme="minorHAnsi"/>
        </w:rPr>
        <w:t>anno accademico 2027/2028), l’esame finale per il conseguimento della laurea magistrale in Odontoiatria e Protesi Dentaria comprende lo svolgimento di una prova pratica valutativa (di seguito, PPV) che precede la discussione della tesi di laurea.</w:t>
      </w:r>
    </w:p>
    <w:p w14:paraId="6C84EAC3" w14:textId="77777777" w:rsidR="00EF075A" w:rsidRPr="00226489" w:rsidRDefault="00EF075A" w:rsidP="00AF3662">
      <w:pPr>
        <w:pStyle w:val="CorpoA"/>
        <w:jc w:val="both"/>
        <w:rPr>
          <w:rFonts w:asciiTheme="minorHAnsi" w:hAnsiTheme="minorHAnsi"/>
        </w:rPr>
      </w:pPr>
      <w:r w:rsidRPr="00226489">
        <w:rPr>
          <w:rFonts w:asciiTheme="minorHAnsi" w:hAnsiTheme="minorHAnsi"/>
        </w:rPr>
        <w:t>2. La PPV ha lo scopo di verificare le competenze professionali acquisite con il tirocinio interno ai corsi di studio e di accertare il livello di preparazione pratica del candidato per l’abilitazione all’esercizio della professione.</w:t>
      </w:r>
    </w:p>
    <w:p w14:paraId="422F33D9" w14:textId="77777777" w:rsidR="00EF075A" w:rsidRPr="00226489" w:rsidRDefault="00EF075A" w:rsidP="00AF3662">
      <w:pPr>
        <w:pStyle w:val="CorpoA"/>
        <w:jc w:val="both"/>
        <w:rPr>
          <w:rFonts w:asciiTheme="minorHAnsi" w:hAnsiTheme="minorHAnsi"/>
        </w:rPr>
      </w:pPr>
      <w:r w:rsidRPr="00226489">
        <w:rPr>
          <w:rFonts w:asciiTheme="minorHAnsi" w:hAnsiTheme="minorHAnsi"/>
        </w:rPr>
        <w:lastRenderedPageBreak/>
        <w:t>3. La PPV è organizzata mediante la discussione da parte dello studente di numero 3 casi clinici trattati come primo operatore durante il TPV, che implicano piani di trattamento multidisciplinari con prestazioni afferenti alla maggioranza delle discipline oggetto del TPV secondo le modalità individuate dal protocollo di cui all’articolo 16.</w:t>
      </w:r>
    </w:p>
    <w:p w14:paraId="27E4F329" w14:textId="03A32C5A" w:rsidR="00EF075A" w:rsidRPr="00226489" w:rsidRDefault="00EF075A" w:rsidP="00AF3662">
      <w:pPr>
        <w:pStyle w:val="CorpoA"/>
        <w:jc w:val="both"/>
        <w:rPr>
          <w:rFonts w:asciiTheme="minorHAnsi" w:hAnsiTheme="minorHAnsi"/>
        </w:rPr>
      </w:pPr>
      <w:r w:rsidRPr="00226489">
        <w:rPr>
          <w:rFonts w:asciiTheme="minorHAnsi" w:hAnsiTheme="minorHAnsi"/>
        </w:rPr>
        <w:t xml:space="preserve">4. La commissione giudicatrice della PPV ha composizione paritetica ed è costituita da almeno 4 membri. I membri della commissione sono, per la metà, docenti universitari, uno dei quali con funzione di Presidente, designati dal Consiglio di corso di studio, e, per l’altra metà, membri designati dalla Commissione Albo </w:t>
      </w:r>
      <w:r w:rsidR="00385118" w:rsidRPr="00226489">
        <w:rPr>
          <w:rFonts w:asciiTheme="minorHAnsi" w:hAnsiTheme="minorHAnsi"/>
        </w:rPr>
        <w:t>O</w:t>
      </w:r>
      <w:r w:rsidRPr="00226489">
        <w:rPr>
          <w:rFonts w:asciiTheme="minorHAnsi" w:hAnsiTheme="minorHAnsi"/>
        </w:rPr>
        <w:t xml:space="preserve">dontoiatri nazionale sentite le Commissioni Albo </w:t>
      </w:r>
      <w:r w:rsidR="00385118" w:rsidRPr="00226489">
        <w:rPr>
          <w:rFonts w:asciiTheme="minorHAnsi" w:hAnsiTheme="minorHAnsi"/>
        </w:rPr>
        <w:t>O</w:t>
      </w:r>
      <w:r w:rsidRPr="00226489">
        <w:rPr>
          <w:rFonts w:asciiTheme="minorHAnsi" w:hAnsiTheme="minorHAnsi"/>
        </w:rPr>
        <w:t>dontoiatri di riferimento, iscritti da almeno cinque anni all’Albo degli Odontoiatri. Un membro iscritto all’Albo degli Odontoiatri, designato con le medesime modalità di cui al presente comma, è invitato a partecipare alla sessione di laurea, fermo restando il rispetto dei principi di cui agli articoli 42 e 43 del Regio decreto 4 giugno 1938, n. 1269.</w:t>
      </w:r>
    </w:p>
    <w:p w14:paraId="155131E1" w14:textId="77777777" w:rsidR="00EF075A" w:rsidRPr="00226489" w:rsidRDefault="00EF075A" w:rsidP="00AF3662">
      <w:pPr>
        <w:pStyle w:val="CorpoA"/>
        <w:jc w:val="both"/>
        <w:rPr>
          <w:rFonts w:asciiTheme="minorHAnsi" w:hAnsiTheme="minorHAnsi"/>
        </w:rPr>
      </w:pPr>
      <w:r w:rsidRPr="00226489">
        <w:rPr>
          <w:rFonts w:asciiTheme="minorHAnsi" w:hAnsiTheme="minorHAnsi"/>
        </w:rPr>
        <w:t>5. Ai fini del superamento della PPV lo studente consegue un giudizio di idoneità, che non concorre a determinare il voto di laurea, e accede alla discussione della tesi di laurea.</w:t>
      </w:r>
    </w:p>
    <w:p w14:paraId="3A049115" w14:textId="77777777" w:rsidR="009D0F02" w:rsidRPr="00226489" w:rsidRDefault="009D0F02" w:rsidP="00AF3662">
      <w:pPr>
        <w:jc w:val="both"/>
      </w:pPr>
    </w:p>
    <w:p w14:paraId="1430C8FB"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br w:type="page"/>
      </w:r>
    </w:p>
    <w:p w14:paraId="30DDFD13" w14:textId="5EBCF3EB" w:rsidR="002069D1" w:rsidRPr="00226489" w:rsidRDefault="002069D1" w:rsidP="002069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bCs/>
        </w:rPr>
      </w:pPr>
      <w:r w:rsidRPr="00226489">
        <w:rPr>
          <w:b/>
          <w:bCs/>
        </w:rPr>
        <w:lastRenderedPageBreak/>
        <w:t xml:space="preserve">Quadro B1 – </w:t>
      </w:r>
      <w:r w:rsidR="00537E31" w:rsidRPr="00226489">
        <w:rPr>
          <w:b/>
          <w:bCs/>
        </w:rPr>
        <w:t>Descrizione del percorso di formazione e dei metodi di accertamento</w:t>
      </w:r>
      <w:r w:rsidR="00226489" w:rsidRPr="00226489">
        <w:rPr>
          <w:b/>
          <w:bCs/>
        </w:rPr>
        <w:t xml:space="preserve"> </w:t>
      </w:r>
    </w:p>
    <w:p w14:paraId="3F5C9ECF" w14:textId="6925806E" w:rsidR="00537E31" w:rsidRPr="00226489" w:rsidRDefault="00226489" w:rsidP="002069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Bold" w:cs="Tahoma Bold"/>
        </w:rPr>
      </w:pPr>
      <w:r>
        <w:t xml:space="preserve">Ultimo aggiornamento per semestre filtro nel 2025 </w:t>
      </w:r>
      <w:r w:rsidR="00537E31" w:rsidRPr="00226489">
        <w:t>piano di studio e RAD secondo D.M. 1649/2023</w:t>
      </w:r>
    </w:p>
    <w:p w14:paraId="3F440E1B" w14:textId="77777777" w:rsidR="002069D1" w:rsidRPr="00226489" w:rsidRDefault="002069D1"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697FC8A7" w14:textId="0B788E76"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Bold" w:cs="Tahoma Bold"/>
          <w:b/>
          <w:bCs/>
        </w:rPr>
      </w:pPr>
      <w:r w:rsidRPr="00226489">
        <w:rPr>
          <w:b/>
          <w:bCs/>
          <w:highlight w:val="yellow"/>
        </w:rPr>
        <w:t xml:space="preserve">Quadro B4 – Infrastrutture </w:t>
      </w:r>
      <w:r w:rsidR="00226489" w:rsidRPr="00226489">
        <w:rPr>
          <w:b/>
          <w:bCs/>
          <w:highlight w:val="yellow"/>
        </w:rPr>
        <w:t>(</w:t>
      </w:r>
      <w:r w:rsidRPr="00226489">
        <w:rPr>
          <w:b/>
          <w:bCs/>
          <w:highlight w:val="yellow"/>
        </w:rPr>
        <w:t>AGGIORNATO</w:t>
      </w:r>
      <w:r w:rsidR="00226489" w:rsidRPr="00226489">
        <w:rPr>
          <w:b/>
          <w:bCs/>
          <w:highlight w:val="yellow"/>
        </w:rPr>
        <w:t>)</w:t>
      </w:r>
    </w:p>
    <w:p w14:paraId="7D4F3BAD"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xml:space="preserve">Aule </w:t>
      </w:r>
    </w:p>
    <w:p w14:paraId="63B15D9F"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xml:space="preserve">Le aule a disposizione sono la D4, la D5 e la O presso il Campus Universitario “S. Venuta”. </w:t>
      </w:r>
    </w:p>
    <w:p w14:paraId="26618DAE" w14:textId="63C3CF8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xml:space="preserve">È </w:t>
      </w:r>
      <w:r w:rsidR="00385118" w:rsidRPr="00226489">
        <w:rPr>
          <w:rFonts w:eastAsia="Tahoma" w:cs="Tahoma"/>
        </w:rPr>
        <w:t>stato effettuato il collaudo del</w:t>
      </w:r>
      <w:r w:rsidR="00226489">
        <w:rPr>
          <w:rFonts w:eastAsia="Tahoma" w:cs="Tahoma"/>
        </w:rPr>
        <w:t>la parte del</w:t>
      </w:r>
      <w:r w:rsidR="00385118" w:rsidRPr="00226489">
        <w:rPr>
          <w:rFonts w:eastAsia="Tahoma" w:cs="Tahoma"/>
        </w:rPr>
        <w:t xml:space="preserve"> </w:t>
      </w:r>
      <w:r w:rsidRPr="00226489">
        <w:rPr>
          <w:rFonts w:eastAsia="Tahoma" w:cs="Tahoma"/>
        </w:rPr>
        <w:t>Centro di simulazione</w:t>
      </w:r>
      <w:r w:rsidR="00385118" w:rsidRPr="00226489">
        <w:rPr>
          <w:rFonts w:eastAsia="Tahoma" w:cs="Tahoma"/>
        </w:rPr>
        <w:t xml:space="preserve"> </w:t>
      </w:r>
      <w:r w:rsidR="00226489">
        <w:rPr>
          <w:rFonts w:eastAsia="Tahoma" w:cs="Tahoma"/>
        </w:rPr>
        <w:t xml:space="preserve">di Ateneo dedicato ai Corsi </w:t>
      </w:r>
      <w:r w:rsidR="00385118" w:rsidRPr="00226489">
        <w:rPr>
          <w:rFonts w:eastAsia="Tahoma" w:cs="Tahoma"/>
        </w:rPr>
        <w:t xml:space="preserve">di </w:t>
      </w:r>
      <w:r w:rsidR="00226489">
        <w:rPr>
          <w:rFonts w:eastAsia="Tahoma" w:cs="Tahoma"/>
        </w:rPr>
        <w:t xml:space="preserve">area </w:t>
      </w:r>
      <w:r w:rsidR="00385118" w:rsidRPr="00226489">
        <w:rPr>
          <w:rFonts w:eastAsia="Tahoma" w:cs="Tahoma"/>
        </w:rPr>
        <w:t>odontoiatri</w:t>
      </w:r>
      <w:r w:rsidR="00226489">
        <w:rPr>
          <w:rFonts w:eastAsia="Tahoma" w:cs="Tahoma"/>
        </w:rPr>
        <w:t>ca</w:t>
      </w:r>
      <w:r w:rsidR="00385118" w:rsidRPr="00226489">
        <w:rPr>
          <w:rFonts w:eastAsia="Tahoma" w:cs="Tahoma"/>
        </w:rPr>
        <w:t xml:space="preserve"> </w:t>
      </w:r>
      <w:r w:rsidRPr="00226489">
        <w:rPr>
          <w:rFonts w:eastAsia="Tahoma" w:cs="Tahoma"/>
        </w:rPr>
        <w:t>che prevede 10 (dieci) simulatori odontoiatrici</w:t>
      </w:r>
      <w:r w:rsidR="00385118" w:rsidRPr="00226489">
        <w:rPr>
          <w:rFonts w:eastAsia="Tahoma" w:cs="Tahoma"/>
        </w:rPr>
        <w:t>.</w:t>
      </w:r>
      <w:r w:rsidRPr="00226489">
        <w:rPr>
          <w:rFonts w:eastAsia="Tahoma" w:cs="Tahoma"/>
        </w:rPr>
        <w:t xml:space="preserve"> </w:t>
      </w:r>
      <w:r w:rsidR="00226489">
        <w:rPr>
          <w:rFonts w:eastAsia="Tahoma" w:cs="Tahoma"/>
        </w:rPr>
        <w:t>Nel Centro di simulazione è destinata anche un’aula al CdS in Odontoiatria e Protesi Dentaria.</w:t>
      </w:r>
    </w:p>
    <w:p w14:paraId="1887C41D" w14:textId="1C09B555" w:rsidR="00484AB9" w:rsidRPr="00226489" w:rsidRDefault="00484AB9" w:rsidP="00AF3662">
      <w:pPr>
        <w:jc w:val="both"/>
        <w:rPr>
          <w:rFonts w:eastAsia="Tahoma" w:cs="Tahoma"/>
        </w:rPr>
      </w:pPr>
      <w:r w:rsidRPr="00226489">
        <w:rPr>
          <w:rFonts w:eastAsia="Tahoma" w:cs="Tahoma"/>
        </w:rPr>
        <w:t xml:space="preserve">Sistema Bibliotecario d'Ateneo: Include 4 biblioteche di cui una biblioteca biomedica completamente attrezzata per fornire il massimo confort agli studenti. </w:t>
      </w:r>
      <w:r w:rsidR="00AB32E9" w:rsidRPr="00226489">
        <w:rPr>
          <w:rFonts w:eastAsia="Tahoma" w:cs="Tahoma"/>
        </w:rPr>
        <w:t>Q</w:t>
      </w:r>
      <w:r w:rsidRPr="00226489">
        <w:rPr>
          <w:rFonts w:eastAsia="Tahoma" w:cs="Tahoma"/>
        </w:rPr>
        <w:t xml:space="preserve">uesta è dotata di 3 sale lettura, con oltre 100 postazioni con collegamento </w:t>
      </w:r>
      <w:r w:rsidR="00AB32E9" w:rsidRPr="00226489">
        <w:rPr>
          <w:rFonts w:eastAsia="Tahoma" w:cs="Tahoma"/>
        </w:rPr>
        <w:t>Wi-Fi</w:t>
      </w:r>
      <w:r w:rsidRPr="00226489">
        <w:rPr>
          <w:rFonts w:eastAsia="Tahoma" w:cs="Tahoma"/>
        </w:rPr>
        <w:t xml:space="preserve"> ai servizi e abbonamenti della biblioteca, un'auletta di 60 posti disponibile per eventi scientifici e culturali. La Biblioteca ha stipulato abbonamenti ad oltre 25.000 riviste e periodici multidisciplinari accessibili da tutti gli IP dell’Ateneo e da remoto tramite proxy (tra i quali abbonamenti a JAMA e JAMA network, NEJM, Science</w:t>
      </w:r>
      <w:r w:rsidR="00AB32E9" w:rsidRPr="00226489">
        <w:rPr>
          <w:rFonts w:eastAsia="Tahoma" w:cs="Tahoma"/>
        </w:rPr>
        <w:t>,</w:t>
      </w:r>
      <w:r w:rsidRPr="00226489">
        <w:rPr>
          <w:rFonts w:eastAsia="Tahoma" w:cs="Tahoma"/>
        </w:rPr>
        <w:t xml:space="preserve"> </w:t>
      </w:r>
      <w:proofErr w:type="spellStart"/>
      <w:r w:rsidR="00AB32E9" w:rsidRPr="00226489">
        <w:rPr>
          <w:rFonts w:eastAsia="Tahoma" w:cs="Tahoma"/>
        </w:rPr>
        <w:t>ecc</w:t>
      </w:r>
      <w:proofErr w:type="spellEnd"/>
      <w:r w:rsidRPr="00226489">
        <w:rPr>
          <w:rFonts w:eastAsia="Tahoma" w:cs="Tahoma"/>
        </w:rPr>
        <w:t>). Inoltre, sono disponibili oltre 70.000 testi di area biomedica oltre ad e-book di area medica. Dal 2022 ha messo a disposizione gratuitamente la piattaforma "</w:t>
      </w:r>
      <w:proofErr w:type="spellStart"/>
      <w:r w:rsidRPr="00226489">
        <w:rPr>
          <w:rFonts w:eastAsia="Tahoma" w:cs="Tahoma"/>
        </w:rPr>
        <w:t>Refwork</w:t>
      </w:r>
      <w:proofErr w:type="spellEnd"/>
      <w:r w:rsidRPr="00226489">
        <w:rPr>
          <w:rFonts w:eastAsia="Tahoma" w:cs="Tahoma"/>
        </w:rPr>
        <w:t xml:space="preserve">" per la creazione delle citazioni bibliografiche dei lavori di tesi. È inoltre disponibile un software antiplagio che confronta il manoscritto di interesse con oltre un miliardo di altre fonti. Tra i servizi più innovativi vi è </w:t>
      </w:r>
      <w:proofErr w:type="spellStart"/>
      <w:r w:rsidRPr="00226489">
        <w:rPr>
          <w:rFonts w:eastAsia="Tahoma" w:cs="Tahoma"/>
        </w:rPr>
        <w:t>UpToDate</w:t>
      </w:r>
      <w:proofErr w:type="spellEnd"/>
      <w:r w:rsidRPr="00226489">
        <w:rPr>
          <w:rFonts w:eastAsia="Tahoma" w:cs="Tahoma"/>
        </w:rPr>
        <w:t xml:space="preserve">, uno strumento </w:t>
      </w:r>
      <w:proofErr w:type="spellStart"/>
      <w:r w:rsidRPr="00226489">
        <w:rPr>
          <w:rFonts w:eastAsia="Tahoma" w:cs="Tahoma"/>
        </w:rPr>
        <w:t>evidence</w:t>
      </w:r>
      <w:proofErr w:type="spellEnd"/>
      <w:r w:rsidRPr="00226489">
        <w:rPr>
          <w:rFonts w:eastAsia="Tahoma" w:cs="Tahoma"/>
        </w:rPr>
        <w:t xml:space="preserve"> </w:t>
      </w:r>
      <w:proofErr w:type="spellStart"/>
      <w:r w:rsidRPr="00226489">
        <w:rPr>
          <w:rFonts w:eastAsia="Tahoma" w:cs="Tahoma"/>
        </w:rPr>
        <w:t>based</w:t>
      </w:r>
      <w:proofErr w:type="spellEnd"/>
      <w:r w:rsidRPr="00226489">
        <w:rPr>
          <w:rFonts w:eastAsia="Tahoma" w:cs="Tahoma"/>
        </w:rPr>
        <w:t xml:space="preserve"> di supporto alle decisioni cliniche che offre raccomandazioni cliniche basate su prove di efficacia continuamente aggiornate da </w:t>
      </w:r>
      <w:proofErr w:type="gramStart"/>
      <w:r w:rsidRPr="00226489">
        <w:rPr>
          <w:rFonts w:eastAsia="Tahoma" w:cs="Tahoma"/>
        </w:rPr>
        <w:t>un team internazionale</w:t>
      </w:r>
      <w:proofErr w:type="gramEnd"/>
      <w:r w:rsidRPr="00226489">
        <w:rPr>
          <w:rFonts w:eastAsia="Tahoma" w:cs="Tahoma"/>
        </w:rPr>
        <w:t xml:space="preserve"> di docenti, che offre oltre 12.000 argomenti clinici in 25 specialità, oltre 36.000 immagini esportabili, l’unico strumento di supporto alle decisioni cliniche associato a un miglioramento negli esiti clinici. Software di anatomia virtuale, che tramite visori consente di studiare in maniera immersiva il corpo umano grazie ad una vasta gamma di immagini corredate da terminologia anatomica ufficiale. La biblioteca dispone di un Archivio tesi consultabile liberamente dagli studenti sia cartaceo che online.  </w:t>
      </w:r>
      <w:proofErr w:type="gramStart"/>
      <w:r w:rsidRPr="00226489">
        <w:rPr>
          <w:rFonts w:eastAsia="Tahoma" w:cs="Tahoma"/>
        </w:rPr>
        <w:t>E'</w:t>
      </w:r>
      <w:proofErr w:type="gramEnd"/>
      <w:r w:rsidRPr="00226489">
        <w:rPr>
          <w:rFonts w:eastAsia="Tahoma" w:cs="Tahoma"/>
        </w:rPr>
        <w:t xml:space="preserve"> stato promosso un premio alla migliore tesi di Laurea dell’importo di </w:t>
      </w:r>
      <w:proofErr w:type="gramStart"/>
      <w:r w:rsidRPr="00226489">
        <w:rPr>
          <w:rFonts w:eastAsia="Tahoma" w:cs="Tahoma"/>
        </w:rPr>
        <w:t>Euro</w:t>
      </w:r>
      <w:proofErr w:type="gramEnd"/>
      <w:r w:rsidRPr="00226489">
        <w:rPr>
          <w:rFonts w:eastAsia="Tahoma" w:cs="Tahoma"/>
        </w:rPr>
        <w:t xml:space="preserve"> 3,000 offerta dalla Camera di Commercio di Catanzaro. Tra i servizi disponibili inoltre vi è il corso di ricerca bibliografica gratuito (2 volte l'anno), aiuto personalizzato nella ricerca bibliografica ( su richiesta), corsi per pubblicare in open access, corsi sulla stima personale, corsi di benessere ( ed altri corsi aperti ai soggetti fragili e alla cittadinanza), </w:t>
      </w:r>
      <w:proofErr w:type="spellStart"/>
      <w:r w:rsidRPr="00226489">
        <w:rPr>
          <w:rFonts w:eastAsia="Tahoma" w:cs="Tahoma"/>
        </w:rPr>
        <w:t>document</w:t>
      </w:r>
      <w:proofErr w:type="spellEnd"/>
      <w:r w:rsidRPr="00226489">
        <w:rPr>
          <w:rFonts w:eastAsia="Tahoma" w:cs="Tahoma"/>
        </w:rPr>
        <w:t xml:space="preserve"> delivery, (adesione al catalogo ACNP, catalogo nazionale dei periodici, possibilità di avere articoli in tempo reale), sito sempre aggiornato con navigazione intuitiva e comprensivo di tutorial per l'accesso rapido e in autonomia a tutti i servizi, servizio </w:t>
      </w:r>
      <w:proofErr w:type="spellStart"/>
      <w:r w:rsidRPr="00226489">
        <w:rPr>
          <w:rFonts w:eastAsia="Tahoma" w:cs="Tahoma"/>
        </w:rPr>
        <w:t>fotocopisteria</w:t>
      </w:r>
      <w:proofErr w:type="spellEnd"/>
      <w:r w:rsidRPr="00226489">
        <w:rPr>
          <w:rFonts w:eastAsia="Tahoma" w:cs="Tahoma"/>
        </w:rPr>
        <w:t xml:space="preserve">, prestito bibliotecario e interbibliotecario (adesione al network Nilde). Le biblioteche sono aperte tutti i giorni da lunedì al venerdì dalle ore 9.00 alle ore 19.00 e sabato fino alle 14.00; Il Sistema Bibliotecario, nell'ottica di promuovere la "Open Science", aderisce ai contratti trasformativi CRUI-CARE e consente la consultazione e pubblicazione ad accesso aperto su centinaia di riviste degli editor Springer, Wiley </w:t>
      </w:r>
      <w:proofErr w:type="gramStart"/>
      <w:r w:rsidRPr="00226489">
        <w:rPr>
          <w:rFonts w:eastAsia="Tahoma" w:cs="Tahoma"/>
        </w:rPr>
        <w:t>e</w:t>
      </w:r>
      <w:proofErr w:type="gramEnd"/>
      <w:r w:rsidRPr="00226489">
        <w:rPr>
          <w:rFonts w:eastAsia="Tahoma" w:cs="Tahoma"/>
        </w:rPr>
        <w:t xml:space="preserve"> Elsevier.  Sono disponibili numerosi servizi per disabilità: carta dei servizi in braille, ingranditori per ipovedenti e soggetti con disturbi dell'apprendimento; lettori vocali di testo per non vedenti e dislessici per testi e e-book; software EPICO per disturbi dell'apprendimento; penna per concorsi con lettore vocale; postazioni riservate su richiesta; anatomia immersiva 3D per migliorare l'apprendimento.</w:t>
      </w:r>
    </w:p>
    <w:p w14:paraId="36613613" w14:textId="77777777" w:rsidR="00484AB9" w:rsidRPr="00226489" w:rsidRDefault="00484AB9" w:rsidP="00AF36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rPr>
          <w:rFonts w:eastAsia="Tahoma" w:cs="Tahoma"/>
        </w:rPr>
      </w:pPr>
      <w:r w:rsidRPr="00226489">
        <w:t>Aule e strutture informatiche</w:t>
      </w:r>
    </w:p>
    <w:p w14:paraId="5F575860"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pPr>
      <w:r w:rsidRPr="00226489">
        <w:t>Gli studenti del corso possono utilizzare una sala informatica da 40 postazioni.</w:t>
      </w:r>
    </w:p>
    <w:p w14:paraId="4A6458C2" w14:textId="64CB1E54"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lastRenderedPageBreak/>
        <w:t>L'UMG ha attivato un servizio di connettività senza fili all'interno delle proprie strutture. Tale servizio consente di collegarsi alla rete di Ateneo con il proprio Computer Portatile, purché provvisto della scheda di collegamento Wi-Fi. Il collegamento può avvenire nelle aree di copertura e si dispone delle credenziali di accesso.</w:t>
      </w:r>
    </w:p>
    <w:p w14:paraId="027AB460" w14:textId="67A387A2"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jc w:val="both"/>
      </w:pPr>
      <w:r w:rsidRPr="00226489">
        <w:t>Sale Studio</w:t>
      </w:r>
    </w:p>
    <w:p w14:paraId="4AC93358" w14:textId="77777777" w:rsidR="004D05D6"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rPr>
          <w:rFonts w:eastAsia="Tahoma" w:cs="Tahoma"/>
        </w:rPr>
        <w:t>Gli studenti possono utilizzare una sala studio adiacente alla biblioteca di 90 posti.</w:t>
      </w:r>
    </w:p>
    <w:p w14:paraId="7EB6C501" w14:textId="23C39D19"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b/>
          <w:bCs/>
          <w:highlight w:val="yellow"/>
        </w:rPr>
        <w:t>Quadro B5 - AGGIORNATO</w:t>
      </w:r>
    </w:p>
    <w:p w14:paraId="4968340B"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bCs/>
        </w:rPr>
      </w:pPr>
      <w:r w:rsidRPr="00226489">
        <w:rPr>
          <w:b/>
          <w:bCs/>
        </w:rPr>
        <w:t>Orientamento in ingresso</w:t>
      </w:r>
    </w:p>
    <w:p w14:paraId="722F898B"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L'Ateneo mette a disposizione sul sito web informazioni per conoscere i Corsi di Laurea erogati, i possibili sbocchi occupazionali e le attività correlate durante il percorso di studio.</w:t>
      </w:r>
    </w:p>
    <w:p w14:paraId="6FD4B70E" w14:textId="5D6C7B62"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Ulteriore obiettivo dell'orientamento in ingresso è anche sensibilizzare gli studenti delle scuole superiori interessati all'ambito sanitario, attraverso visite presso le scuole o open-day dedicati agli studenti presso l’Ateneo.</w:t>
      </w:r>
    </w:p>
    <w:p w14:paraId="4E7F7C3C"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http://web.unicz.it/it/page/orientamento-in-entrata</w:t>
      </w:r>
    </w:p>
    <w:p w14:paraId="776B95D0"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hyperlink r:id="rId10" w:history="1">
        <w:r w:rsidRPr="00226489">
          <w:rPr>
            <w:rStyle w:val="Collegamentoipertestuale"/>
          </w:rPr>
          <w:t>http://medicina.unicz.it/corso_studio/odontoiatria_protesi_dentaria</w:t>
        </w:r>
      </w:hyperlink>
    </w:p>
    <w:p w14:paraId="6ECB125B"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Attività del CdS</w:t>
      </w:r>
    </w:p>
    <w:p w14:paraId="6050B825" w14:textId="6196BC85"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xml:space="preserve">Il progetto di orientamento e tutorato MOOD (Progetto </w:t>
      </w:r>
      <w:proofErr w:type="spellStart"/>
      <w:r w:rsidRPr="00226489">
        <w:rPr>
          <w:rFonts w:eastAsia="Tahoma" w:cs="Tahoma"/>
        </w:rPr>
        <w:t>Med</w:t>
      </w:r>
      <w:proofErr w:type="spellEnd"/>
      <w:r w:rsidRPr="00226489">
        <w:rPr>
          <w:rFonts w:eastAsia="Tahoma" w:cs="Tahoma"/>
        </w:rPr>
        <w:t xml:space="preserve"> </w:t>
      </w:r>
      <w:proofErr w:type="spellStart"/>
      <w:r w:rsidRPr="00226489">
        <w:rPr>
          <w:rFonts w:eastAsia="Tahoma" w:cs="Tahoma"/>
        </w:rPr>
        <w:t>Odonto</w:t>
      </w:r>
      <w:proofErr w:type="spellEnd"/>
      <w:r w:rsidRPr="00226489">
        <w:rPr>
          <w:rFonts w:eastAsia="Tahoma" w:cs="Tahoma"/>
        </w:rPr>
        <w:t xml:space="preserve"> Orienta Domain - MOOD), già finanziato 2023-25 da parte del MUR rappresenta un’iniziativa congiunta delle Conferenze Permanenti dei Presidenti di Corso di Laurea Magistrale in Medicina e Chirurgia (CLMMC) dei Presidenti dei Corsi di Laurea in Odontoiatria e Protesi Dentaria (CLMOPD), coinvolge 40 sedi italiane ed ha l’obiettivo di sviluppare un percorso di orientamento in ingresso uniforme e omogeneo sul territorio italiano per ridurre le disparità di corsi di formazione per il test di accesso ai CLMMC e CLMOPD (socioeconomica, territoriale, digitale) e rafforzare l’interazione scuola-università. In sinergia con tutti gli Atenei partecipanti, saranno realizzate attività di orientamento alle iscrizioni verso i CLMMC e CLMOPD offerto in maniera uniforme ed equa a tutti gli studenti coinvolti. Il progetto prevede l’organizzazione di attività formativa elettiva, organizzata su piattaforma digitale, in modalità innovativa e tale da consentire una interazione attiva degli studenti coinvolti. Inoltre, verranno offerte attività esperienziali tramite pratiche laboratoriali di simulazione–</w:t>
      </w:r>
      <w:proofErr w:type="spellStart"/>
      <w:r w:rsidRPr="00226489">
        <w:rPr>
          <w:rFonts w:eastAsia="Tahoma" w:cs="Tahoma"/>
        </w:rPr>
        <w:t>microtirocini</w:t>
      </w:r>
      <w:proofErr w:type="spellEnd"/>
      <w:r w:rsidRPr="00226489">
        <w:rPr>
          <w:rFonts w:eastAsia="Tahoma" w:cs="Tahoma"/>
        </w:rPr>
        <w:t>, micro-attività immersive laboratoriali per gli studenti di Scuola secondaria di secondo grado.</w:t>
      </w:r>
    </w:p>
    <w:p w14:paraId="2B478178"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bCs/>
        </w:rPr>
      </w:pPr>
      <w:r w:rsidRPr="00226489">
        <w:rPr>
          <w:b/>
          <w:bCs/>
        </w:rPr>
        <w:t>Orientamento e tutorato in itinere</w:t>
      </w:r>
    </w:p>
    <w:p w14:paraId="713E938F"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La Scuola di Medicina e Chirurgia accompagna il percorso di studi dei propri studenti attraverso attività organizzative, di sostegno e motivazione allo studio, a partire dal momento dell'iscrizione con l’inserimento degli studenti nel percorso formativo fino al conseguimento del titolo.</w:t>
      </w:r>
    </w:p>
    <w:p w14:paraId="08AFD348"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 xml:space="preserve">Il supporto in itinere agli studenti offerto dalla Scuola di Medicina e Chirurgia prevede un percorso semplificato per la prenotazione degli esami, attività part-time inerenti formazione e percorsi di interesse, integrati anche con esperienze studio all'estero. </w:t>
      </w:r>
    </w:p>
    <w:p w14:paraId="5C492E39"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Per quanto riguarda l'Orientamento e tutorato in itinere del CdS, si definiscono tre fondamentali e distinte figure di Tutore:</w:t>
      </w:r>
    </w:p>
    <w:p w14:paraId="7E7F1BF7"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a) la prima figura è quella del Docente al quale lo Studente può rivolgersi per avere suggerimenti inerenti la carriera universitaria;</w:t>
      </w:r>
    </w:p>
    <w:p w14:paraId="6D60DC12"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lastRenderedPageBreak/>
        <w:t>b) la seconda figura è quella del Tutor didattico al quale un piccolo numero di Studenti è affidato per lo svolgimento delle attività didattiche tutoriali. Il Tutor è impegnato anche nella preparazione dei materiali da utilizzare nella didattica tutoriale.</w:t>
      </w:r>
    </w:p>
    <w:p w14:paraId="37E79CCB"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c) La terza figura è quella del Tutor di tirocinio al quale un piccolo numero di Studenti è affidato per lo svolgimento delle attività di tirocinio professionalizzante.</w:t>
      </w:r>
    </w:p>
    <w:p w14:paraId="2D8094C5"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http://web.unicz.it/it/page/bacheca-studenti</w:t>
      </w:r>
    </w:p>
    <w:p w14:paraId="5301CA6C"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http://web.unicz.it/it/category/avvisi-didattica-medicina-e-chirurgia</w:t>
      </w:r>
    </w:p>
    <w:p w14:paraId="06BF7EB5"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p>
    <w:p w14:paraId="7B6CA7B0"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b/>
          <w:bCs/>
        </w:rPr>
      </w:pPr>
      <w:r w:rsidRPr="00226489">
        <w:rPr>
          <w:b/>
          <w:bCs/>
        </w:rPr>
        <w:t>Assistenza per lo svolgimento di periodi di formazione all’esterno (tirocini e stages)</w:t>
      </w:r>
    </w:p>
    <w:p w14:paraId="0854402D"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xml:space="preserve">- Diffusione delle informazioni su programmi e iniziative a carattere internazionale, promosse dai ministeri italiani, dalla </w:t>
      </w:r>
      <w:proofErr w:type="spellStart"/>
      <w:r w:rsidRPr="00226489">
        <w:t>comunita</w:t>
      </w:r>
      <w:proofErr w:type="spellEnd"/>
      <w:r w:rsidRPr="00226489">
        <w:t>̀ europea e da altre istituzioni internazionali, in particolare sul Programma LLP Erasmus Placement.</w:t>
      </w:r>
    </w:p>
    <w:p w14:paraId="232EA8C2"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Orientamento, assistenza e tutoraggio per studenti incoming: intermediazione con l'Ardis per i servizi mensa e alloggio; accoglienza all'arrivo con incontri informativi (anche con la collaborazione dell'associazione studentesca ESN); intermediazione con i coordinatori didattici dei corsi di studio competenti per l'approvazione del Training Agreement; tutoraggio individuale per tutta la durata delle mobilità; organizzazione di corsi intensivi di lingua italiana.</w:t>
      </w:r>
    </w:p>
    <w:p w14:paraId="500CECF9" w14:textId="77777777" w:rsidR="00484AB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 Orientamento, assistenza, tutoraggio e supporto per studenti </w:t>
      </w:r>
      <w:proofErr w:type="spellStart"/>
      <w:r w:rsidRPr="00226489">
        <w:t>outgoing</w:t>
      </w:r>
      <w:proofErr w:type="spellEnd"/>
      <w:r w:rsidRPr="00226489">
        <w:t>: mediante incontri informativi precedenti la mobilità; intermediazione preliminare con l'Impresa ospitante e assistenza nella compilazione della documentazione necessaria; intermediazione con i coordinatori didattici dei corsi di studio, competenti per l'approvazione del Training Agreement e per il successivo riconoscimento dell'</w:t>
      </w:r>
      <w:proofErr w:type="spellStart"/>
      <w:r w:rsidRPr="00226489">
        <w:t>attivita</w:t>
      </w:r>
      <w:proofErr w:type="spellEnd"/>
      <w:r w:rsidRPr="00226489">
        <w:t>̀ formativa svolta all'estero; facilitazione nella ricerca dell'Impresa ospitante mediante la pubblicazione on line della lista di Imprese disponibili; supporto informativo individuale durante la mobilità per mezzo di contatti telefonici e telematici; cofinanziamento della mobilità con l'erogazione di un contributo forfetario una tantum per le spese di viaggio.</w:t>
      </w:r>
    </w:p>
    <w:p w14:paraId="51760BE0" w14:textId="58621925" w:rsidR="00226489" w:rsidRPr="00226489" w:rsidRDefault="0022648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t xml:space="preserve">- </w:t>
      </w:r>
      <w:proofErr w:type="gramStart"/>
      <w:r>
        <w:t>E’</w:t>
      </w:r>
      <w:proofErr w:type="gramEnd"/>
      <w:r>
        <w:t xml:space="preserve"> in corso uno scouting per individuare sedi universitarie per la stipula di convenzioni per il programma “ERASMUS Italiano”.</w:t>
      </w:r>
    </w:p>
    <w:p w14:paraId="1AEBE5C6"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Link inserito: http://web.unicz.it/it/page/international-relations</w:t>
      </w:r>
    </w:p>
    <w:p w14:paraId="66DAA42F"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p>
    <w:p w14:paraId="6CD9954F"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b/>
          <w:bCs/>
        </w:rPr>
      </w:pPr>
      <w:r w:rsidRPr="00226489">
        <w:rPr>
          <w:b/>
          <w:bCs/>
        </w:rPr>
        <w:t>Assistenza e accordi per la mobilità internazionale degli studenti</w:t>
      </w:r>
    </w:p>
    <w:p w14:paraId="65AE033C"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xml:space="preserve">- Diffusione delle informazioni su programmi e iniziative a carattere internazionale, promosse dai ministeri italiani, dalla </w:t>
      </w:r>
      <w:proofErr w:type="spellStart"/>
      <w:r w:rsidRPr="00226489">
        <w:t>comunita</w:t>
      </w:r>
      <w:proofErr w:type="spellEnd"/>
      <w:r w:rsidRPr="00226489">
        <w:t>̀ europea e da altre istituzioni internazionali, in particolare sul Programma LLP Erasmus Studio.</w:t>
      </w:r>
    </w:p>
    <w:p w14:paraId="5FBF04F7"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Orientamento, assistenza e tutoraggio per studenti incoming: intermediazione con l'Ardis per i servizi mensa e alloggio; accoglienza all'arrivo con incontri informativi (anche con la collaborazione dell'associazione studentesca ESN); intermediazione con i coordinatori didattici dei corsi di studio competenti per gli aspetti didattici; tutoraggio individuale per tutta la durata delle mobilità; organizzazione di corsi intensivi di lingua italiana.</w:t>
      </w:r>
    </w:p>
    <w:p w14:paraId="11808546" w14:textId="668653A3"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xml:space="preserve">- Orientamento, assistenza, tutoraggio e supporto per studenti </w:t>
      </w:r>
      <w:proofErr w:type="spellStart"/>
      <w:r w:rsidRPr="00226489">
        <w:t>outgoing</w:t>
      </w:r>
      <w:proofErr w:type="spellEnd"/>
      <w:r w:rsidRPr="00226489">
        <w:t>: mediante incontri informativi precedenti la mobilità; intermediazione preliminare con l'</w:t>
      </w:r>
      <w:proofErr w:type="spellStart"/>
      <w:r w:rsidRPr="00226489">
        <w:t>Universita</w:t>
      </w:r>
      <w:proofErr w:type="spellEnd"/>
      <w:r w:rsidRPr="00226489">
        <w:t xml:space="preserve">̀ ospitante e assistenza nella compilazione della documentazione necessaria; intermediazione con i coordinatori didattici dei corsi </w:t>
      </w:r>
      <w:r w:rsidRPr="00226489">
        <w:lastRenderedPageBreak/>
        <w:t>di studio competenti per gli aspetti didattici; supporto informativo individuale durante la mobilità per mezzo di contatti telefonici e telematici; cofinanziamento della mobilità con l'erogazione di una borsa di studio mensile, integrativa della borsa di studio comunitaria, per le spese di vitto e alloggio e di un rimborso forfetario per le spese di viaggio.</w:t>
      </w:r>
    </w:p>
    <w:p w14:paraId="0A859936"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xml:space="preserve">- Supporto ai docenti incoming e </w:t>
      </w:r>
      <w:proofErr w:type="spellStart"/>
      <w:r w:rsidRPr="00226489">
        <w:t>outgoing</w:t>
      </w:r>
      <w:proofErr w:type="spellEnd"/>
      <w:r w:rsidRPr="00226489">
        <w:t xml:space="preserve"> mediante informazioni sulle sedi partner e assistenza nella predisposizione della documentazione necessaria per la mobilità e massima diffusione dell'iniziativa mediante pubblicazione sul sito web dell'ateneo e comunicazione individuale via e-mail.</w:t>
      </w:r>
    </w:p>
    <w:p w14:paraId="42536ABC" w14:textId="5EF0556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In allegato: Elenco Accordi bilaterali, Programma LLP Erasmus, attivi per l'A.A. 2024-2025 Link inserito: </w:t>
      </w:r>
      <w:hyperlink r:id="rId11" w:history="1">
        <w:r w:rsidRPr="00226489">
          <w:rPr>
            <w:rStyle w:val="Collegamentoipertestuale"/>
          </w:rPr>
          <w:t>http://web.unicz.it/it/page/international-relations</w:t>
        </w:r>
      </w:hyperlink>
    </w:p>
    <w:p w14:paraId="4C337431"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 xml:space="preserve">   </w:t>
      </w:r>
    </w:p>
    <w:p w14:paraId="6CFD58DC"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Atenei in convenzione:</w:t>
      </w:r>
    </w:p>
    <w:p w14:paraId="4E46E0B0"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p>
    <w:p w14:paraId="1026A804" w14:textId="77777777" w:rsidR="00484AB9" w:rsidRPr="00226489" w:rsidRDefault="00484AB9" w:rsidP="00AF3662">
      <w:pPr>
        <w:numPr>
          <w:ilvl w:val="0"/>
          <w:numId w:val="4"/>
        </w:numPr>
        <w:pBdr>
          <w:top w:val="nil"/>
          <w:left w:val="nil"/>
          <w:bottom w:val="nil"/>
          <w:right w:val="nil"/>
          <w:between w:val="nil"/>
          <w:bar w:val="nil"/>
        </w:pBdr>
        <w:spacing w:after="0" w:line="240" w:lineRule="auto"/>
        <w:jc w:val="both"/>
      </w:pPr>
      <w:r w:rsidRPr="00226489">
        <w:t>RO CLUJNAP03 - UNIVERSITATEA DE MEDICINA SI FARMACIE "IULIU HATIEGANU" DIN CLUJ-NAPOCA - ROMANIA</w:t>
      </w:r>
    </w:p>
    <w:p w14:paraId="36086065"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bookmarkStart w:id="4" w:name="_Hlk121961477"/>
      <w:r w:rsidRPr="00226489">
        <w:t>Studenti: 2</w:t>
      </w:r>
    </w:p>
    <w:p w14:paraId="7A66CC58"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Durata: 6 mesi</w:t>
      </w:r>
    </w:p>
    <w:p w14:paraId="54BA3B03"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Responsabile: Prof. Giuseppe </w:t>
      </w:r>
      <w:proofErr w:type="spellStart"/>
      <w:r w:rsidRPr="00226489">
        <w:t>Viglietto</w:t>
      </w:r>
      <w:proofErr w:type="spellEnd"/>
    </w:p>
    <w:p w14:paraId="0776C36D"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Data convenzione: 17/04/2014</w:t>
      </w:r>
    </w:p>
    <w:p w14:paraId="7233DE33"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Durata convenzione AA.AA.: </w:t>
      </w:r>
      <w:bookmarkEnd w:id="4"/>
      <w:r w:rsidRPr="00226489">
        <w:t>6 - rinnovata</w:t>
      </w:r>
    </w:p>
    <w:p w14:paraId="4AE02DCF"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154A2B9A" w14:textId="77777777" w:rsidR="00484AB9" w:rsidRPr="00226489" w:rsidRDefault="00484AB9" w:rsidP="00AF3662">
      <w:pPr>
        <w:pStyle w:val="Paragrafoelenco"/>
        <w:numPr>
          <w:ilvl w:val="0"/>
          <w:numId w:val="4"/>
        </w:numPr>
        <w:pBdr>
          <w:top w:val="nil"/>
          <w:left w:val="nil"/>
          <w:bottom w:val="nil"/>
          <w:right w:val="nil"/>
          <w:between w:val="nil"/>
          <w:bar w:val="nil"/>
        </w:pBdr>
        <w:spacing w:after="0" w:line="240" w:lineRule="auto"/>
        <w:contextualSpacing w:val="0"/>
        <w:jc w:val="both"/>
        <w:rPr>
          <w:lang w:val="en-US"/>
        </w:rPr>
      </w:pPr>
      <w:r w:rsidRPr="00226489">
        <w:rPr>
          <w:lang w:val="en-US"/>
        </w:rPr>
        <w:t xml:space="preserve">RS NOVISAD02 - </w:t>
      </w:r>
      <w:r w:rsidRPr="00226489">
        <w:rPr>
          <w:rFonts w:eastAsia="Tahoma" w:cs="Tahoma"/>
          <w:lang w:val="en-US"/>
        </w:rPr>
        <w:t>UNIVERSITY OF NOVI SAD SERBIA</w:t>
      </w:r>
    </w:p>
    <w:p w14:paraId="59777EC6"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bookmarkStart w:id="5" w:name="_Hlk164111969"/>
      <w:r w:rsidRPr="00226489">
        <w:t>Studenti: 2</w:t>
      </w:r>
    </w:p>
    <w:p w14:paraId="584744E0"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Durata: 5 mesi</w:t>
      </w:r>
    </w:p>
    <w:p w14:paraId="412A2223"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Responsabile: Prof. Amerigo Giudice</w:t>
      </w:r>
    </w:p>
    <w:bookmarkEnd w:id="5"/>
    <w:p w14:paraId="086C6D9D"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Data convenzione: 25/11/2021</w:t>
      </w:r>
    </w:p>
    <w:p w14:paraId="42B5CBCB"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Durata convenzione AA.AA.: 6</w:t>
      </w:r>
    </w:p>
    <w:p w14:paraId="53580795"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7327BAFD" w14:textId="77777777" w:rsidR="00484AB9" w:rsidRPr="00226489" w:rsidRDefault="00484AB9" w:rsidP="00AF3662">
      <w:pPr>
        <w:pStyle w:val="Paragrafoelenco"/>
        <w:numPr>
          <w:ilvl w:val="0"/>
          <w:numId w:val="4"/>
        </w:numPr>
        <w:pBdr>
          <w:top w:val="nil"/>
          <w:left w:val="nil"/>
          <w:bottom w:val="nil"/>
          <w:right w:val="nil"/>
          <w:between w:val="nil"/>
          <w:bar w:val="nil"/>
        </w:pBdr>
        <w:spacing w:after="0" w:line="240" w:lineRule="auto"/>
        <w:contextualSpacing w:val="0"/>
        <w:jc w:val="both"/>
      </w:pPr>
      <w:r w:rsidRPr="00226489">
        <w:t>E MURCIA01 - UNIVERSIDAD DE MURCIA</w:t>
      </w:r>
    </w:p>
    <w:p w14:paraId="563D7046"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Studenti: 2</w:t>
      </w:r>
    </w:p>
    <w:p w14:paraId="0E090AB8"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Durata: 5 mesi</w:t>
      </w:r>
    </w:p>
    <w:p w14:paraId="0BECEDCB"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Responsabile: Prof. Amerigo Giudice</w:t>
      </w:r>
    </w:p>
    <w:p w14:paraId="1B6B3A06"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Data convenzione: 10/11/2022</w:t>
      </w:r>
    </w:p>
    <w:p w14:paraId="7B9DB146"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Durata convenzione AA.AA.: 6</w:t>
      </w:r>
    </w:p>
    <w:p w14:paraId="6BA6B400"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755461A7" w14:textId="77777777" w:rsidR="00484AB9" w:rsidRPr="00226489" w:rsidRDefault="00484AB9" w:rsidP="00AF3662">
      <w:pPr>
        <w:pStyle w:val="Paragrafoelenco"/>
        <w:numPr>
          <w:ilvl w:val="0"/>
          <w:numId w:val="4"/>
        </w:numPr>
        <w:pBdr>
          <w:top w:val="nil"/>
          <w:left w:val="nil"/>
          <w:bottom w:val="nil"/>
          <w:right w:val="nil"/>
          <w:between w:val="nil"/>
          <w:bar w:val="nil"/>
        </w:pBdr>
        <w:spacing w:after="0" w:line="240" w:lineRule="auto"/>
        <w:contextualSpacing w:val="0"/>
        <w:jc w:val="both"/>
      </w:pPr>
      <w:r w:rsidRPr="00226489">
        <w:t>RO CRAIOVA02 - UNIVERSITATEA DE MEDICINA DIN CRAIOVA – ROMANIA</w:t>
      </w:r>
    </w:p>
    <w:p w14:paraId="41333509"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Studenti: 2</w:t>
      </w:r>
    </w:p>
    <w:p w14:paraId="64866D5D"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lastRenderedPageBreak/>
        <w:t>Durata: 6 mesi</w:t>
      </w:r>
    </w:p>
    <w:p w14:paraId="141E737C"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Responsabile: Prof. Amerigo Giudice</w:t>
      </w:r>
    </w:p>
    <w:p w14:paraId="6F4128B2"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Data convenzione: 30/05/2023</w:t>
      </w:r>
    </w:p>
    <w:p w14:paraId="31C32DE6"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Durata convenzione AA.AA.: 6</w:t>
      </w:r>
    </w:p>
    <w:p w14:paraId="27C4A680"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p>
    <w:p w14:paraId="3E343D17"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bCs/>
        </w:rPr>
      </w:pPr>
      <w:r w:rsidRPr="00226489">
        <w:rPr>
          <w:b/>
          <w:bCs/>
        </w:rPr>
        <w:t>Assistenza per tirocini e stage</w:t>
      </w:r>
    </w:p>
    <w:p w14:paraId="56E64EF7" w14:textId="6FDCD002"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Analogamente a quanto predisposto per l'Orientamento ed il tutorato in itinere del CdS, le tre fondamentali e distinte figure di Tutore (Docente, Tutor didattico, Tutor di tirocinio) forniscono assistenza nello svolgimento dei tirocini.</w:t>
      </w:r>
    </w:p>
    <w:p w14:paraId="5C70495F"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bCs/>
        </w:rPr>
      </w:pPr>
      <w:r w:rsidRPr="00226489">
        <w:rPr>
          <w:b/>
          <w:bCs/>
        </w:rPr>
        <w:t>Accompagnamento al lavoro</w:t>
      </w:r>
    </w:p>
    <w:p w14:paraId="5ABBB413" w14:textId="0B68AFAD"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 xml:space="preserve">Il CdS organizza alla fine del periodo delle lezioni incontri con esponenti del mondo del lavoro, incontri con imprese del settore e associazioni di categoria. </w:t>
      </w:r>
    </w:p>
    <w:p w14:paraId="30C2F759"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t>http://web.unicz.it/it/page/opportunita-lavoro</w:t>
      </w:r>
    </w:p>
    <w:p w14:paraId="30757B69"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bCs/>
        </w:rPr>
      </w:pPr>
    </w:p>
    <w:p w14:paraId="56658857" w14:textId="2ECE03D3"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b/>
          <w:bCs/>
        </w:rPr>
      </w:pPr>
      <w:r w:rsidRPr="00226489">
        <w:rPr>
          <w:b/>
          <w:bCs/>
        </w:rPr>
        <w:t>Eventuali altre iniziative</w:t>
      </w:r>
    </w:p>
    <w:p w14:paraId="4A2849BA" w14:textId="2B283B50"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pPr>
      <w:r w:rsidRPr="00226489">
        <w:t>Il CCdS ha avviato numerose iniziative che hanno l’obiettivo di consentire la frequenza degli studenti del CdS come uditori di attività didattico-formative previste nei corsi post-laurea attivi presso l’Ateneo di Catanzaro e nelle attività di aggiornamento svolte nelle sedi istituzionali e non istituzionali dalle associazioni di categoria.</w:t>
      </w:r>
    </w:p>
    <w:p w14:paraId="102C5736" w14:textId="36E64426" w:rsidR="00484AB9" w:rsidRPr="00226489" w:rsidRDefault="00AF366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eastAsia="Tahoma" w:cs="Tahoma"/>
        </w:rPr>
      </w:pPr>
      <w:r w:rsidRPr="00226489">
        <w:rPr>
          <w:rFonts w:eastAsia="Tahoma" w:cs="Tahoma"/>
        </w:rPr>
        <w:t>Il CCdS supporta, inoltre, le attività organizzate dalla sede locale della Associazione Italiana degli Studenti di Odontoiatria (AISO).</w:t>
      </w:r>
    </w:p>
    <w:p w14:paraId="101A71C9"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Pr>
      </w:pPr>
      <w:hyperlink r:id="rId12" w:history="1">
        <w:r w:rsidRPr="00226489">
          <w:rPr>
            <w:rStyle w:val="Hyperlink0"/>
            <w:rFonts w:asciiTheme="minorHAnsi" w:hAnsiTheme="minorHAnsi"/>
          </w:rPr>
          <w:t>http://web.unicz.it/it/page/associazioni-studentesche</w:t>
        </w:r>
      </w:hyperlink>
      <w:r w:rsidRPr="00226489">
        <w:rPr>
          <w:rStyle w:val="Nessuno"/>
        </w:rPr>
        <w:br w:type="page"/>
      </w:r>
    </w:p>
    <w:p w14:paraId="618BE437"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Pr>
      </w:pPr>
      <w:r w:rsidRPr="00226489">
        <w:rPr>
          <w:rStyle w:val="Nessuno"/>
        </w:rPr>
        <w:lastRenderedPageBreak/>
        <w:t>Quadro D1 - Struttura organizzativa e responsabilità a livello di Ateneo</w:t>
      </w:r>
    </w:p>
    <w:p w14:paraId="0EBCD9B4"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w:cs="Tahoma"/>
        </w:rPr>
      </w:pPr>
      <w:r w:rsidRPr="00226489">
        <w:rPr>
          <w:rStyle w:val="Nessuno"/>
        </w:rPr>
        <w:t xml:space="preserve">Il Corso di Laurea è coordinato da un Presidente </w:t>
      </w:r>
      <w:r w:rsidRPr="00226489">
        <w:rPr>
          <w:rFonts w:cstheme="minorHAnsi"/>
          <w:color w:val="000000" w:themeColor="text1"/>
        </w:rPr>
        <w:t xml:space="preserve">eletto per un triennio dal Consiglio del Corso di Studio secondo le modalità indicate dal Regolamento di Ateneo. </w:t>
      </w:r>
      <w:r w:rsidRPr="00226489">
        <w:rPr>
          <w:rStyle w:val="Nessuno"/>
        </w:rPr>
        <w:t xml:space="preserve">La gestione del Corso è affidata alla Scuola di Medicina e Chirurgia, struttura didattica di raccordo tra i tre Dipartimenti di area biomedico-farmaceutica. La Scuola di Medicina e Chirurgia è presieduta da un Professore Ordinario. Gli atti inerenti l’attività didattica vengono successivamente approvati dal Senato Accademico, e per quanto riguarda gli immatricolati da ammettere, le risorse, l’attivazione o la soppressione dei CdS dal </w:t>
      </w:r>
      <w:proofErr w:type="gramStart"/>
      <w:r w:rsidRPr="00226489">
        <w:rPr>
          <w:rStyle w:val="Nessuno"/>
        </w:rPr>
        <w:t>Consiglio di Amministrazione</w:t>
      </w:r>
      <w:proofErr w:type="gramEnd"/>
      <w:r w:rsidRPr="00226489">
        <w:rPr>
          <w:rStyle w:val="Nessuno"/>
        </w:rPr>
        <w:t xml:space="preserve"> presieduto dal Rettore.</w:t>
      </w:r>
    </w:p>
    <w:p w14:paraId="4366DEA1"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rPr>
      </w:pPr>
      <w:r w:rsidRPr="00226489">
        <w:rPr>
          <w:rStyle w:val="Nessuno"/>
          <w:rFonts w:eastAsia="Tahoma Bold" w:cs="Tahoma Bold"/>
        </w:rPr>
        <w:t xml:space="preserve">L'Ateneo al fine di garantire il perseguimento di politiche di assicurazione di </w:t>
      </w:r>
      <w:proofErr w:type="spellStart"/>
      <w:r w:rsidRPr="00226489">
        <w:rPr>
          <w:rStyle w:val="Nessuno"/>
          <w:rFonts w:eastAsia="Tahoma Bold" w:cs="Tahoma Bold"/>
        </w:rPr>
        <w:t>qualita</w:t>
      </w:r>
      <w:proofErr w:type="spellEnd"/>
      <w:r w:rsidRPr="00226489">
        <w:rPr>
          <w:rStyle w:val="Nessuno"/>
          <w:rFonts w:eastAsia="Tahoma Bold" w:cs="Tahoma Bold"/>
        </w:rPr>
        <w:t xml:space="preserve">̀ ha istituito il presidio di </w:t>
      </w:r>
      <w:proofErr w:type="spellStart"/>
      <w:r w:rsidRPr="00226489">
        <w:rPr>
          <w:rStyle w:val="Nessuno"/>
          <w:rFonts w:eastAsia="Tahoma Bold" w:cs="Tahoma Bold"/>
        </w:rPr>
        <w:t>Qualita</w:t>
      </w:r>
      <w:proofErr w:type="spellEnd"/>
      <w:r w:rsidRPr="00226489">
        <w:rPr>
          <w:rStyle w:val="Nessuno"/>
          <w:rFonts w:eastAsia="Tahoma Bold" w:cs="Tahoma Bold"/>
        </w:rPr>
        <w:t>̀ che supporta i CdS.</w:t>
      </w:r>
    </w:p>
    <w:p w14:paraId="5C7798D5"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rPr>
      </w:pPr>
      <w:r w:rsidRPr="00226489">
        <w:rPr>
          <w:rStyle w:val="Nessuno"/>
          <w:rFonts w:eastAsia="Tahoma Bold" w:cs="Tahoma Bold"/>
        </w:rPr>
        <w:t xml:space="preserve">Compiti, funzioni, composizione ed </w:t>
      </w:r>
      <w:proofErr w:type="spellStart"/>
      <w:r w:rsidRPr="00226489">
        <w:rPr>
          <w:rStyle w:val="Nessuno"/>
          <w:rFonts w:eastAsia="Tahoma Bold" w:cs="Tahoma Bold"/>
        </w:rPr>
        <w:t>attivita</w:t>
      </w:r>
      <w:proofErr w:type="spellEnd"/>
      <w:r w:rsidRPr="00226489">
        <w:rPr>
          <w:rStyle w:val="Nessuno"/>
          <w:rFonts w:eastAsia="Tahoma Bold" w:cs="Tahoma Bold"/>
        </w:rPr>
        <w:t>̀ del Presidio possono essere consultati all'indirizzo https://pqa.unicz.it</w:t>
      </w:r>
    </w:p>
    <w:p w14:paraId="732F151E"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rPr>
      </w:pPr>
    </w:p>
    <w:p w14:paraId="704A15C2"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rPr>
      </w:pPr>
      <w:r w:rsidRPr="00226489">
        <w:rPr>
          <w:rStyle w:val="Nessuno"/>
          <w:rFonts w:eastAsia="Tahoma Bold" w:cs="Tahoma Bold"/>
        </w:rPr>
        <w:t>Link inserito: https://pqa.unicz.it</w:t>
      </w:r>
    </w:p>
    <w:p w14:paraId="6531A90A"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rPr>
      </w:pPr>
    </w:p>
    <w:p w14:paraId="3D2EBE53" w14:textId="68B0DBCD" w:rsidR="00484AB9" w:rsidRPr="007438F6"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b/>
          <w:bCs/>
        </w:rPr>
      </w:pPr>
      <w:r w:rsidRPr="007438F6">
        <w:rPr>
          <w:rStyle w:val="Nessuno"/>
          <w:rFonts w:eastAsia="Tahoma Bold" w:cs="Tahoma Bold"/>
          <w:b/>
          <w:bCs/>
          <w:highlight w:val="yellow"/>
        </w:rPr>
        <w:t>Quadro D2 - Organizzazione e responsabilità della AQ a livello del Cd</w:t>
      </w:r>
      <w:r w:rsidR="007438F6" w:rsidRPr="007438F6">
        <w:rPr>
          <w:rStyle w:val="Nessuno"/>
          <w:rFonts w:eastAsia="Tahoma Bold" w:cs="Tahoma Bold"/>
          <w:b/>
          <w:bCs/>
          <w:highlight w:val="yellow"/>
        </w:rPr>
        <w:t>S (AGGIORNATO)</w:t>
      </w:r>
    </w:p>
    <w:p w14:paraId="7EE19B18"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rPr>
      </w:pPr>
      <w:r w:rsidRPr="00226489">
        <w:rPr>
          <w:rStyle w:val="Nessuno"/>
          <w:rFonts w:eastAsia="Tahoma Bold" w:cs="Tahoma Bold"/>
        </w:rPr>
        <w:t>Responsabile della Assicurazione di Qualità del Corso di Laurea in Odontoiatria e Protesi Dentaria è il Presidente, Prof. Amerigo Giudice in collaborazione con il gruppo di qualità che include i seguenti componenti:</w:t>
      </w:r>
    </w:p>
    <w:p w14:paraId="3007DB8F"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kern w:val="28"/>
        </w:rPr>
      </w:pPr>
      <w:r w:rsidRPr="00226489">
        <w:rPr>
          <w:kern w:val="28"/>
        </w:rPr>
        <w:t>Presidente CCdS: Prof. Amerigo Giudice</w:t>
      </w:r>
    </w:p>
    <w:p w14:paraId="06756649" w14:textId="2A64B222" w:rsidR="00AF3662" w:rsidRPr="00226489" w:rsidRDefault="00AF366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kern w:val="28"/>
        </w:rPr>
      </w:pPr>
      <w:r w:rsidRPr="00226489">
        <w:rPr>
          <w:kern w:val="28"/>
        </w:rPr>
        <w:t>Docente</w:t>
      </w:r>
      <w:r w:rsidR="006E6C75" w:rsidRPr="00226489">
        <w:rPr>
          <w:kern w:val="28"/>
        </w:rPr>
        <w:t xml:space="preserve"> </w:t>
      </w:r>
      <w:r w:rsidRPr="00226489">
        <w:rPr>
          <w:kern w:val="28"/>
        </w:rPr>
        <w:t>primo biennio (I e II anno): Prof.ssa Anna Di Vito</w:t>
      </w:r>
    </w:p>
    <w:p w14:paraId="387ECFE5" w14:textId="31F30B6B" w:rsidR="00484AB9" w:rsidRPr="00226489" w:rsidRDefault="00AF366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kern w:val="28"/>
        </w:rPr>
      </w:pPr>
      <w:r w:rsidRPr="00226489">
        <w:rPr>
          <w:kern w:val="28"/>
        </w:rPr>
        <w:t xml:space="preserve">Docente secondo biennio (III e IV anno): </w:t>
      </w:r>
      <w:r w:rsidR="00484AB9" w:rsidRPr="00226489">
        <w:rPr>
          <w:kern w:val="28"/>
        </w:rPr>
        <w:t>Prof. Antonio Leo</w:t>
      </w:r>
    </w:p>
    <w:p w14:paraId="01578484" w14:textId="457FDC2C"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kern w:val="28"/>
        </w:rPr>
      </w:pPr>
      <w:r w:rsidRPr="00226489">
        <w:rPr>
          <w:kern w:val="28"/>
        </w:rPr>
        <w:t xml:space="preserve">Docente terzo </w:t>
      </w:r>
      <w:r w:rsidR="00AF3662" w:rsidRPr="00226489">
        <w:rPr>
          <w:kern w:val="28"/>
        </w:rPr>
        <w:t xml:space="preserve">biennio (V e VI </w:t>
      </w:r>
      <w:proofErr w:type="gramStart"/>
      <w:r w:rsidR="00AF3662" w:rsidRPr="00226489">
        <w:rPr>
          <w:kern w:val="28"/>
        </w:rPr>
        <w:t>anno</w:t>
      </w:r>
      <w:proofErr w:type="gramEnd"/>
      <w:r w:rsidR="00AF3662" w:rsidRPr="00226489">
        <w:rPr>
          <w:kern w:val="28"/>
        </w:rPr>
        <w:t>)</w:t>
      </w:r>
      <w:r w:rsidRPr="00226489">
        <w:rPr>
          <w:kern w:val="28"/>
        </w:rPr>
        <w:t>: Dott. Francesco Bennardo</w:t>
      </w:r>
    </w:p>
    <w:p w14:paraId="6C9ED46B" w14:textId="5A39695B"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kern w:val="28"/>
        </w:rPr>
      </w:pPr>
      <w:r w:rsidRPr="00226489">
        <w:rPr>
          <w:kern w:val="28"/>
        </w:rPr>
        <w:t xml:space="preserve">Personale amministrativo: </w:t>
      </w:r>
      <w:r w:rsidR="007438F6">
        <w:rPr>
          <w:kern w:val="28"/>
        </w:rPr>
        <w:t>Dott.ssa Adele Bianco</w:t>
      </w:r>
    </w:p>
    <w:p w14:paraId="24480279" w14:textId="20800CE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kern w:val="28"/>
        </w:rPr>
      </w:pPr>
      <w:r w:rsidRPr="00226489">
        <w:rPr>
          <w:kern w:val="28"/>
        </w:rPr>
        <w:t>Rappresentant</w:t>
      </w:r>
      <w:r w:rsidR="00AF3662" w:rsidRPr="00226489">
        <w:rPr>
          <w:kern w:val="28"/>
        </w:rPr>
        <w:t>i</w:t>
      </w:r>
      <w:r w:rsidRPr="00226489">
        <w:rPr>
          <w:kern w:val="28"/>
        </w:rPr>
        <w:t xml:space="preserve"> degli Studenti: Sig.</w:t>
      </w:r>
      <w:r w:rsidR="006E6C75" w:rsidRPr="00226489">
        <w:rPr>
          <w:kern w:val="28"/>
        </w:rPr>
        <w:t xml:space="preserve"> Davide Siragusa </w:t>
      </w:r>
      <w:r w:rsidR="00AF3662" w:rsidRPr="00226489">
        <w:rPr>
          <w:kern w:val="28"/>
        </w:rPr>
        <w:t>(CCdS), Sig.</w:t>
      </w:r>
      <w:r w:rsidR="006E6C75" w:rsidRPr="00226489">
        <w:rPr>
          <w:kern w:val="28"/>
        </w:rPr>
        <w:t xml:space="preserve"> Pietromario Zicarelli </w:t>
      </w:r>
      <w:r w:rsidR="00AF3662" w:rsidRPr="00226489">
        <w:rPr>
          <w:kern w:val="28"/>
        </w:rPr>
        <w:t>(CCdS), Sig.na Virginia Venere Porco (legale rappresentante AISO Catanzaro)</w:t>
      </w:r>
    </w:p>
    <w:p w14:paraId="7993A5E8" w14:textId="26FF3060"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rPr>
      </w:pPr>
      <w:r w:rsidRPr="00226489">
        <w:rPr>
          <w:rStyle w:val="Nessuno"/>
          <w:rFonts w:eastAsia="Tahoma Bold" w:cs="Tahoma Bold"/>
        </w:rPr>
        <w:t>La responsabilità del gruppo consiste nel garantire il miglioramento continuo come strumento strategico attraverso il quale conseguire obiettivi di eccellenza nell'attività di formazione erogate dal</w:t>
      </w:r>
      <w:r w:rsidR="007438F6">
        <w:rPr>
          <w:rStyle w:val="Nessuno"/>
          <w:rFonts w:eastAsia="Tahoma Bold" w:cs="Tahoma Bold"/>
        </w:rPr>
        <w:t xml:space="preserve"> CdS</w:t>
      </w:r>
      <w:r w:rsidRPr="00226489">
        <w:rPr>
          <w:rStyle w:val="Nessuno"/>
          <w:rFonts w:eastAsia="Tahoma Bold" w:cs="Tahoma Bold"/>
        </w:rPr>
        <w:t>.</w:t>
      </w:r>
    </w:p>
    <w:p w14:paraId="24EA3560" w14:textId="77777777" w:rsidR="00484AB9" w:rsidRPr="00226489"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rPr>
      </w:pPr>
      <w:r w:rsidRPr="00226489">
        <w:rPr>
          <w:rStyle w:val="Nessuno"/>
          <w:rFonts w:eastAsia="Tahoma Bold" w:cs="Tahoma Bold"/>
        </w:rPr>
        <w:t>Link inserito: https://pqa.unicz.it</w:t>
      </w:r>
    </w:p>
    <w:p w14:paraId="6EEB47CC" w14:textId="0934ECB2" w:rsidR="00484AB9" w:rsidRPr="007438F6" w:rsidRDefault="00484AB9"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b/>
          <w:bCs/>
        </w:rPr>
      </w:pPr>
      <w:bookmarkStart w:id="6" w:name="_Hlk121959443"/>
      <w:r w:rsidRPr="007438F6">
        <w:rPr>
          <w:rStyle w:val="Nessuno"/>
          <w:rFonts w:eastAsia="Tahoma Bold" w:cs="Tahoma Bold"/>
          <w:b/>
          <w:bCs/>
          <w:highlight w:val="yellow"/>
        </w:rPr>
        <w:t xml:space="preserve">Quadro D3 - </w:t>
      </w:r>
      <w:bookmarkEnd w:id="6"/>
      <w:r w:rsidRPr="007438F6">
        <w:rPr>
          <w:rStyle w:val="Nessuno"/>
          <w:rFonts w:eastAsia="Tahoma Bold" w:cs="Tahoma Bold"/>
          <w:b/>
          <w:bCs/>
          <w:highlight w:val="yellow"/>
        </w:rPr>
        <w:t>Programmazione dei lavori e scadenze di attuazione delle iniziative</w:t>
      </w:r>
      <w:r w:rsidR="007438F6" w:rsidRPr="007438F6">
        <w:rPr>
          <w:rStyle w:val="Nessuno"/>
          <w:rFonts w:eastAsia="Tahoma Bold" w:cs="Tahoma Bold"/>
          <w:b/>
          <w:bCs/>
          <w:highlight w:val="yellow"/>
        </w:rPr>
        <w:t xml:space="preserve"> (AGGIORNATO)</w:t>
      </w:r>
    </w:p>
    <w:p w14:paraId="6F19401D" w14:textId="6DBFF2D2" w:rsidR="00AF3662" w:rsidRPr="00226489" w:rsidRDefault="00AF3662" w:rsidP="00AF36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essuno"/>
          <w:rFonts w:eastAsia="Tahoma Bold" w:cs="Tahoma Bold"/>
        </w:rPr>
      </w:pPr>
      <w:r w:rsidRPr="00226489">
        <w:rPr>
          <w:rStyle w:val="Nessuno"/>
          <w:rFonts w:eastAsia="Tahoma Bold" w:cs="Tahoma Bold"/>
        </w:rPr>
        <w:t>Programmazione dei lavori A.A. 202</w:t>
      </w:r>
      <w:r w:rsidR="003F748F">
        <w:rPr>
          <w:rStyle w:val="Nessuno"/>
          <w:rFonts w:eastAsia="Tahoma Bold" w:cs="Tahoma Bold"/>
        </w:rPr>
        <w:t>5</w:t>
      </w:r>
      <w:r w:rsidR="007438F6">
        <w:rPr>
          <w:rStyle w:val="Nessuno"/>
          <w:rFonts w:eastAsia="Tahoma Bold" w:cs="Tahoma Bold"/>
        </w:rPr>
        <w:t>/</w:t>
      </w:r>
      <w:r w:rsidRPr="00226489">
        <w:rPr>
          <w:rStyle w:val="Nessuno"/>
          <w:rFonts w:eastAsia="Tahoma Bold" w:cs="Tahoma Bold"/>
        </w:rPr>
        <w:t>202</w:t>
      </w:r>
      <w:r w:rsidR="003F748F">
        <w:rPr>
          <w:rStyle w:val="Nessuno"/>
          <w:rFonts w:eastAsia="Tahoma Bold" w:cs="Tahoma Bold"/>
        </w:rPr>
        <w:t>6</w:t>
      </w:r>
      <w:r w:rsidRPr="00226489">
        <w:rPr>
          <w:rStyle w:val="Nessuno"/>
          <w:rFonts w:eastAsia="Tahoma Bold" w:cs="Tahoma Bold"/>
        </w:rPr>
        <w:t xml:space="preserve"> da attuare prima dell’inizio dell’A.A. 202</w:t>
      </w:r>
      <w:r w:rsidR="007438F6">
        <w:rPr>
          <w:rStyle w:val="Nessuno"/>
          <w:rFonts w:eastAsia="Tahoma Bold" w:cs="Tahoma Bold"/>
        </w:rPr>
        <w:t>6</w:t>
      </w:r>
      <w:r w:rsidRPr="00226489">
        <w:rPr>
          <w:rStyle w:val="Nessuno"/>
          <w:rFonts w:eastAsia="Tahoma Bold" w:cs="Tahoma Bold"/>
        </w:rPr>
        <w:t>/202</w:t>
      </w:r>
      <w:r w:rsidR="007438F6">
        <w:rPr>
          <w:rStyle w:val="Nessuno"/>
          <w:rFonts w:eastAsia="Tahoma Bold" w:cs="Tahoma Bold"/>
        </w:rPr>
        <w:t>7</w:t>
      </w:r>
    </w:p>
    <w:p w14:paraId="47E8F7A8" w14:textId="3873FB75" w:rsidR="003F748F" w:rsidRDefault="003F748F" w:rsidP="00AF3662">
      <w:pPr>
        <w:pStyle w:val="Paragrafoelenco"/>
        <w:numPr>
          <w:ilvl w:val="0"/>
          <w:numId w:val="2"/>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20"/>
        <w:contextualSpacing w:val="0"/>
        <w:jc w:val="both"/>
        <w:rPr>
          <w:rStyle w:val="Nessuno"/>
          <w:rFonts w:eastAsia="Tahoma Bold" w:cs="Tahoma Bold"/>
        </w:rPr>
      </w:pPr>
      <w:r>
        <w:rPr>
          <w:rStyle w:val="Nessuno"/>
          <w:rFonts w:eastAsia="Tahoma Bold" w:cs="Tahoma Bold"/>
        </w:rPr>
        <w:t xml:space="preserve">Programmazione incontri con stakeholder per valutare andamento del CdS ed eventuali modifiche del </w:t>
      </w:r>
      <w:r w:rsidR="007438F6">
        <w:rPr>
          <w:rStyle w:val="Nessuno"/>
          <w:rFonts w:eastAsia="Tahoma Bold" w:cs="Tahoma Bold"/>
        </w:rPr>
        <w:t>regolamento didattico</w:t>
      </w:r>
    </w:p>
    <w:p w14:paraId="4FCEAF4F" w14:textId="0FA5C855" w:rsidR="003F748F" w:rsidRDefault="003F748F" w:rsidP="00AF3662">
      <w:pPr>
        <w:pStyle w:val="Paragrafoelenco"/>
        <w:numPr>
          <w:ilvl w:val="0"/>
          <w:numId w:val="2"/>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20"/>
        <w:contextualSpacing w:val="0"/>
        <w:jc w:val="both"/>
        <w:rPr>
          <w:rStyle w:val="Nessuno"/>
          <w:rFonts w:eastAsia="Tahoma Bold" w:cs="Tahoma Bold"/>
        </w:rPr>
      </w:pPr>
      <w:r>
        <w:rPr>
          <w:rStyle w:val="Nessuno"/>
          <w:rFonts w:eastAsia="Tahoma Bold" w:cs="Tahoma Bold"/>
        </w:rPr>
        <w:t>Organizzazione eventi di orientamento in itinere ed in uscita</w:t>
      </w:r>
    </w:p>
    <w:p w14:paraId="392775AB" w14:textId="3C2DE64D" w:rsidR="00AF3662" w:rsidRPr="00226489" w:rsidRDefault="00AF3662" w:rsidP="00AF3662">
      <w:pPr>
        <w:pStyle w:val="Paragrafoelenco"/>
        <w:numPr>
          <w:ilvl w:val="0"/>
          <w:numId w:val="2"/>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20"/>
        <w:contextualSpacing w:val="0"/>
        <w:jc w:val="both"/>
        <w:rPr>
          <w:rStyle w:val="Nessuno"/>
          <w:rFonts w:eastAsia="Tahoma Bold" w:cs="Tahoma Bold"/>
        </w:rPr>
      </w:pPr>
      <w:r w:rsidRPr="00226489">
        <w:rPr>
          <w:rStyle w:val="Nessuno"/>
          <w:rFonts w:eastAsia="Tahoma Bold" w:cs="Tahoma Bold"/>
        </w:rPr>
        <w:t>Redazione SUA-CdS</w:t>
      </w:r>
    </w:p>
    <w:p w14:paraId="67A4EBB2" w14:textId="2A66ED6B" w:rsidR="00AF3662" w:rsidRPr="00226489" w:rsidRDefault="00AF3662" w:rsidP="00AF3662">
      <w:pPr>
        <w:pStyle w:val="Paragrafoelenco"/>
        <w:numPr>
          <w:ilvl w:val="0"/>
          <w:numId w:val="2"/>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20"/>
        <w:contextualSpacing w:val="0"/>
        <w:jc w:val="both"/>
        <w:rPr>
          <w:rStyle w:val="Nessuno"/>
          <w:rFonts w:eastAsia="Tahoma Bold" w:cs="Tahoma Bold"/>
        </w:rPr>
      </w:pPr>
      <w:r w:rsidRPr="00226489">
        <w:rPr>
          <w:rStyle w:val="Nessuno"/>
          <w:rFonts w:eastAsia="Tahoma Bold" w:cs="Tahoma Bold"/>
        </w:rPr>
        <w:t>Redazione Scheda di Monitoraggio Annuale</w:t>
      </w:r>
    </w:p>
    <w:p w14:paraId="7D37CE1F" w14:textId="7E91D88F" w:rsidR="00025B64" w:rsidRDefault="003F748F" w:rsidP="00AF3662">
      <w:pPr>
        <w:pStyle w:val="Paragrafoelenco"/>
        <w:numPr>
          <w:ilvl w:val="0"/>
          <w:numId w:val="2"/>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20"/>
        <w:contextualSpacing w:val="0"/>
        <w:jc w:val="both"/>
        <w:rPr>
          <w:rStyle w:val="Nessuno"/>
          <w:rFonts w:eastAsia="Tahoma Bold" w:cs="Tahoma Bold"/>
        </w:rPr>
      </w:pPr>
      <w:r>
        <w:rPr>
          <w:rStyle w:val="Nessuno"/>
          <w:rFonts w:eastAsia="Tahoma Bold" w:cs="Tahoma Bold"/>
        </w:rPr>
        <w:t xml:space="preserve">Valutazione </w:t>
      </w:r>
      <w:r w:rsidR="00484AB9" w:rsidRPr="00226489">
        <w:rPr>
          <w:rStyle w:val="Nessuno"/>
          <w:rFonts w:eastAsia="Tahoma Bold" w:cs="Tahoma Bold"/>
        </w:rPr>
        <w:t>dei programmi degli insegnamenti</w:t>
      </w:r>
      <w:r>
        <w:rPr>
          <w:rStyle w:val="Nessuno"/>
          <w:rFonts w:eastAsia="Tahoma Bold" w:cs="Tahoma Bold"/>
        </w:rPr>
        <w:t xml:space="preserve"> e dei tirocini attraverso la compilazione del </w:t>
      </w:r>
      <w:proofErr w:type="spellStart"/>
      <w:r>
        <w:rPr>
          <w:rStyle w:val="Nessuno"/>
          <w:rFonts w:eastAsia="Tahoma Bold" w:cs="Tahoma Bold"/>
        </w:rPr>
        <w:t>Syllabus</w:t>
      </w:r>
      <w:proofErr w:type="spellEnd"/>
      <w:r>
        <w:rPr>
          <w:rStyle w:val="Nessuno"/>
          <w:rFonts w:eastAsia="Tahoma Bold" w:cs="Tahoma Bold"/>
        </w:rPr>
        <w:t xml:space="preserve"> su U-GOV</w:t>
      </w:r>
    </w:p>
    <w:p w14:paraId="7F74BDE1" w14:textId="77777777" w:rsidR="003F748F" w:rsidRPr="00226489" w:rsidRDefault="003F748F" w:rsidP="003F748F">
      <w:pPr>
        <w:pStyle w:val="Paragrafoelenco"/>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contextualSpacing w:val="0"/>
        <w:jc w:val="both"/>
        <w:rPr>
          <w:rStyle w:val="Nessuno"/>
          <w:rFonts w:eastAsia="Tahoma Bold" w:cs="Tahoma Bold"/>
        </w:rPr>
      </w:pPr>
    </w:p>
    <w:p w14:paraId="5064BB02" w14:textId="1B565FA1" w:rsidR="000E4099" w:rsidRPr="00AA5D29" w:rsidRDefault="000E4099" w:rsidP="000E409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eastAsia="Tahoma Bold" w:cs="Tahoma Bold"/>
          <w:b/>
          <w:bCs/>
        </w:rPr>
      </w:pPr>
      <w:r w:rsidRPr="003F748F">
        <w:rPr>
          <w:rFonts w:eastAsia="Tahoma Bold" w:cs="Tahoma Bold"/>
          <w:b/>
          <w:bCs/>
          <w:highlight w:val="yellow"/>
        </w:rPr>
        <w:t xml:space="preserve">Quadro D5 – </w:t>
      </w:r>
      <w:r w:rsidR="009C077A" w:rsidRPr="003F748F">
        <w:rPr>
          <w:rFonts w:eastAsia="Tahoma Bold" w:cs="Tahoma Bold"/>
          <w:b/>
          <w:bCs/>
          <w:highlight w:val="yellow"/>
        </w:rPr>
        <w:t>Progettazione CdS</w:t>
      </w:r>
      <w:r w:rsidR="00AA5D29" w:rsidRPr="003F748F">
        <w:rPr>
          <w:rFonts w:eastAsia="Tahoma Bold" w:cs="Tahoma Bold"/>
          <w:b/>
          <w:bCs/>
          <w:highlight w:val="yellow"/>
        </w:rPr>
        <w:t xml:space="preserve"> (</w:t>
      </w:r>
      <w:r w:rsidR="007438F6">
        <w:rPr>
          <w:rFonts w:eastAsia="Tahoma Bold" w:cs="Tahoma Bold"/>
          <w:b/>
          <w:bCs/>
          <w:highlight w:val="yellow"/>
        </w:rPr>
        <w:t xml:space="preserve">VERIFICARE SE </w:t>
      </w:r>
      <w:r w:rsidR="00AA5D29" w:rsidRPr="003F748F">
        <w:rPr>
          <w:rFonts w:eastAsia="Tahoma Bold" w:cs="Tahoma Bold"/>
          <w:b/>
          <w:bCs/>
          <w:highlight w:val="yellow"/>
        </w:rPr>
        <w:t>AGGIORNATO)</w:t>
      </w:r>
    </w:p>
    <w:p w14:paraId="75285679" w14:textId="33FC90F8" w:rsidR="000E4099" w:rsidRPr="000E4099" w:rsidRDefault="000E4099" w:rsidP="000E409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eastAsia="Tahoma Bold" w:cs="Tahoma Bold"/>
        </w:rPr>
      </w:pPr>
      <w:r w:rsidRPr="00226489">
        <w:t>Aggiornamento della SUA-CdS per il CdLM in Odontoiatria e Protesi Dentaria necessarie al fine di adeguarsi a quanto disposto dal Decreto Ministeriale n. 1649 del 19-12-2023 (M4C1 Riforma 1.5 - Classi di laurea [milestone M4C1-10] - Decreto Ministeriale relativo alle Classi di Laurea Magistrale e Magistrale a Ciclo Unico), incluso l’aggiornamento del piano di studio e del RAD approvato dal Consiglio del CdLM in Odontoiatria e Protesi Dentaria in data 27/12/2024</w:t>
      </w:r>
      <w:r w:rsidR="00AA5D29">
        <w:t xml:space="preserve"> ed in data 25/06/2025 dopo le modifiche richieste dal MUR per l’avvio del cosiddetto “semestre filtro”</w:t>
      </w:r>
      <w:r w:rsidRPr="00226489">
        <w:t>.</w:t>
      </w:r>
      <w:r w:rsidR="004D05D6">
        <w:t xml:space="preserve"> </w:t>
      </w:r>
    </w:p>
    <w:sectPr w:rsidR="000E4099" w:rsidRPr="000E409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Bold">
    <w:altName w:val="Tahom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62272"/>
    <w:multiLevelType w:val="hybridMultilevel"/>
    <w:tmpl w:val="B6EE5C84"/>
    <w:numStyleLink w:val="Stileimportato1"/>
  </w:abstractNum>
  <w:abstractNum w:abstractNumId="1" w15:restartNumberingAfterBreak="0">
    <w:nsid w:val="3E83654C"/>
    <w:multiLevelType w:val="hybridMultilevel"/>
    <w:tmpl w:val="7A9AE748"/>
    <w:numStyleLink w:val="Numerato"/>
  </w:abstractNum>
  <w:abstractNum w:abstractNumId="2" w15:restartNumberingAfterBreak="0">
    <w:nsid w:val="407A3D1E"/>
    <w:multiLevelType w:val="hybridMultilevel"/>
    <w:tmpl w:val="B6EE5C84"/>
    <w:styleLink w:val="Stileimportato1"/>
    <w:lvl w:ilvl="0" w:tplc="92880B9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64" w:hanging="164"/>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1" w:tplc="6090FCF8">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36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2" w:tplc="763A0B62">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160" w:hanging="36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3" w:tplc="20104FAC">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132"/>
        </w:tabs>
        <w:ind w:left="2880" w:hanging="36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4" w:tplc="0A2EF8DA">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132"/>
        </w:tabs>
        <w:ind w:left="3600" w:hanging="36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5" w:tplc="6C06926E">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132"/>
        </w:tabs>
        <w:ind w:left="4320" w:hanging="36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6" w:tplc="F0EC2AA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5040" w:hanging="36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7" w:tplc="A564852C">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132"/>
        </w:tabs>
        <w:ind w:left="5760" w:hanging="36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lvl w:ilvl="8" w:tplc="5BD2F2A4">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132"/>
        </w:tabs>
        <w:ind w:left="6480" w:hanging="360"/>
      </w:pPr>
      <w:rPr>
        <w:rFonts w:ascii="Tahoma" w:eastAsia="Tahoma" w:hAnsi="Tahoma" w:cs="Tahom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AD374AE"/>
    <w:multiLevelType w:val="hybridMultilevel"/>
    <w:tmpl w:val="8B28F0E2"/>
    <w:lvl w:ilvl="0" w:tplc="F760A334">
      <w:start w:val="1"/>
      <w:numFmt w:val="bullet"/>
      <w:lvlText w:val="-"/>
      <w:lvlJc w:val="left"/>
      <w:pPr>
        <w:ind w:left="360" w:hanging="360"/>
      </w:pPr>
      <w:rPr>
        <w:rFonts w:ascii="Tahoma" w:eastAsia="Helvetica Neue" w:hAnsi="Tahoma" w:cs="Tahoma"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6E7E16BC"/>
    <w:multiLevelType w:val="hybridMultilevel"/>
    <w:tmpl w:val="C95A3B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E8E57B0"/>
    <w:multiLevelType w:val="hybridMultilevel"/>
    <w:tmpl w:val="7A9AE748"/>
    <w:styleLink w:val="Numerato"/>
    <w:lvl w:ilvl="0" w:tplc="71C6457C">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010C7F92">
      <w:start w:val="1"/>
      <w:numFmt w:val="decimal"/>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9190C862">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CCE2717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731EE266">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F674578C">
      <w:start w:val="1"/>
      <w:numFmt w:val="decimal"/>
      <w:lvlText w:val="%6."/>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1F70655A">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B49089B8">
      <w:start w:val="1"/>
      <w:numFmt w:val="decimal"/>
      <w:lvlText w:val="%8."/>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132"/>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FEA808A6">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213321159">
    <w:abstractNumId w:val="4"/>
  </w:num>
  <w:num w:numId="2" w16cid:durableId="2084184399">
    <w:abstractNumId w:val="3"/>
  </w:num>
  <w:num w:numId="3" w16cid:durableId="895746508">
    <w:abstractNumId w:val="5"/>
  </w:num>
  <w:num w:numId="4" w16cid:durableId="584194787">
    <w:abstractNumId w:val="1"/>
  </w:num>
  <w:num w:numId="5" w16cid:durableId="322510102">
    <w:abstractNumId w:val="2"/>
  </w:num>
  <w:num w:numId="6" w16cid:durableId="762843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2E8"/>
    <w:rsid w:val="000106CE"/>
    <w:rsid w:val="00025B64"/>
    <w:rsid w:val="00083A69"/>
    <w:rsid w:val="000A61C3"/>
    <w:rsid w:val="000E4099"/>
    <w:rsid w:val="000F275B"/>
    <w:rsid w:val="0019528D"/>
    <w:rsid w:val="001A0675"/>
    <w:rsid w:val="001D1A42"/>
    <w:rsid w:val="002069D1"/>
    <w:rsid w:val="00221835"/>
    <w:rsid w:val="00226489"/>
    <w:rsid w:val="00287A60"/>
    <w:rsid w:val="00295CFE"/>
    <w:rsid w:val="002B4951"/>
    <w:rsid w:val="002B5CA9"/>
    <w:rsid w:val="00347668"/>
    <w:rsid w:val="00385118"/>
    <w:rsid w:val="003B2250"/>
    <w:rsid w:val="003D0416"/>
    <w:rsid w:val="003F748F"/>
    <w:rsid w:val="00433CA5"/>
    <w:rsid w:val="004542E8"/>
    <w:rsid w:val="00484AB9"/>
    <w:rsid w:val="004D05D6"/>
    <w:rsid w:val="00537E31"/>
    <w:rsid w:val="005D21E2"/>
    <w:rsid w:val="005F65AB"/>
    <w:rsid w:val="00633CF4"/>
    <w:rsid w:val="00650270"/>
    <w:rsid w:val="006A3890"/>
    <w:rsid w:val="006C0E73"/>
    <w:rsid w:val="006D7761"/>
    <w:rsid w:val="006E6C75"/>
    <w:rsid w:val="007168C5"/>
    <w:rsid w:val="007438F6"/>
    <w:rsid w:val="0091351D"/>
    <w:rsid w:val="00926B29"/>
    <w:rsid w:val="009768A2"/>
    <w:rsid w:val="009C077A"/>
    <w:rsid w:val="009D0F02"/>
    <w:rsid w:val="00A85EED"/>
    <w:rsid w:val="00AA3F5E"/>
    <w:rsid w:val="00AA5D29"/>
    <w:rsid w:val="00AB32E9"/>
    <w:rsid w:val="00AF3662"/>
    <w:rsid w:val="00B94B72"/>
    <w:rsid w:val="00BC4C86"/>
    <w:rsid w:val="00C4548B"/>
    <w:rsid w:val="00CE786C"/>
    <w:rsid w:val="00E02D04"/>
    <w:rsid w:val="00ED2438"/>
    <w:rsid w:val="00EF075A"/>
    <w:rsid w:val="00F164FD"/>
    <w:rsid w:val="00F51E5E"/>
    <w:rsid w:val="00F531D9"/>
    <w:rsid w:val="00F624C6"/>
    <w:rsid w:val="00FA3C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C4AF60"/>
  <w15:chartTrackingRefBased/>
  <w15:docId w15:val="{8D549D70-3F98-4B1E-A60F-0646B5C74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454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454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4542E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542E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542E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4542E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4542E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4542E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4542E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542E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rsid w:val="004542E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4542E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542E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4542E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4542E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4542E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4542E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4542E8"/>
    <w:rPr>
      <w:rFonts w:eastAsiaTheme="majorEastAsia" w:cstheme="majorBidi"/>
      <w:color w:val="272727" w:themeColor="text1" w:themeTint="D8"/>
    </w:rPr>
  </w:style>
  <w:style w:type="paragraph" w:styleId="Titolo">
    <w:name w:val="Title"/>
    <w:basedOn w:val="Normale"/>
    <w:next w:val="Normale"/>
    <w:link w:val="TitoloCarattere"/>
    <w:uiPriority w:val="10"/>
    <w:qFormat/>
    <w:rsid w:val="00454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542E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542E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542E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542E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4542E8"/>
    <w:rPr>
      <w:i/>
      <w:iCs/>
      <w:color w:val="404040" w:themeColor="text1" w:themeTint="BF"/>
    </w:rPr>
  </w:style>
  <w:style w:type="paragraph" w:styleId="Paragrafoelenco">
    <w:name w:val="List Paragraph"/>
    <w:basedOn w:val="Normale"/>
    <w:qFormat/>
    <w:rsid w:val="004542E8"/>
    <w:pPr>
      <w:ind w:left="720"/>
      <w:contextualSpacing/>
    </w:pPr>
  </w:style>
  <w:style w:type="character" w:styleId="Enfasiintensa">
    <w:name w:val="Intense Emphasis"/>
    <w:basedOn w:val="Carpredefinitoparagrafo"/>
    <w:uiPriority w:val="21"/>
    <w:qFormat/>
    <w:rsid w:val="004542E8"/>
    <w:rPr>
      <w:i/>
      <w:iCs/>
      <w:color w:val="0F4761" w:themeColor="accent1" w:themeShade="BF"/>
    </w:rPr>
  </w:style>
  <w:style w:type="paragraph" w:styleId="Citazioneintensa">
    <w:name w:val="Intense Quote"/>
    <w:basedOn w:val="Normale"/>
    <w:next w:val="Normale"/>
    <w:link w:val="CitazioneintensaCarattere"/>
    <w:uiPriority w:val="30"/>
    <w:qFormat/>
    <w:rsid w:val="00454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542E8"/>
    <w:rPr>
      <w:i/>
      <w:iCs/>
      <w:color w:val="0F4761" w:themeColor="accent1" w:themeShade="BF"/>
    </w:rPr>
  </w:style>
  <w:style w:type="character" w:styleId="Riferimentointenso">
    <w:name w:val="Intense Reference"/>
    <w:basedOn w:val="Carpredefinitoparagrafo"/>
    <w:uiPriority w:val="32"/>
    <w:qFormat/>
    <w:rsid w:val="004542E8"/>
    <w:rPr>
      <w:b/>
      <w:bCs/>
      <w:smallCaps/>
      <w:color w:val="0F4761" w:themeColor="accent1" w:themeShade="BF"/>
      <w:spacing w:val="5"/>
    </w:rPr>
  </w:style>
  <w:style w:type="character" w:styleId="Collegamentoipertestuale">
    <w:name w:val="Hyperlink"/>
    <w:basedOn w:val="Carpredefinitoparagrafo"/>
    <w:uiPriority w:val="99"/>
    <w:unhideWhenUsed/>
    <w:rsid w:val="004542E8"/>
    <w:rPr>
      <w:color w:val="467886" w:themeColor="hyperlink"/>
      <w:u w:val="single"/>
    </w:rPr>
  </w:style>
  <w:style w:type="character" w:styleId="Menzionenonrisolta">
    <w:name w:val="Unresolved Mention"/>
    <w:basedOn w:val="Carpredefinitoparagrafo"/>
    <w:uiPriority w:val="99"/>
    <w:semiHidden/>
    <w:unhideWhenUsed/>
    <w:rsid w:val="004542E8"/>
    <w:rPr>
      <w:color w:val="605E5C"/>
      <w:shd w:val="clear" w:color="auto" w:fill="E1DFDD"/>
    </w:rPr>
  </w:style>
  <w:style w:type="character" w:styleId="Enfasigrassetto">
    <w:name w:val="Strong"/>
    <w:basedOn w:val="Carpredefinitoparagrafo"/>
    <w:uiPriority w:val="22"/>
    <w:qFormat/>
    <w:rsid w:val="004542E8"/>
    <w:rPr>
      <w:b/>
      <w:bCs/>
    </w:rPr>
  </w:style>
  <w:style w:type="paragraph" w:styleId="Nessunaspaziatura">
    <w:name w:val="No Spacing"/>
    <w:uiPriority w:val="1"/>
    <w:qFormat/>
    <w:rsid w:val="004542E8"/>
    <w:pPr>
      <w:spacing w:after="0" w:line="240" w:lineRule="auto"/>
    </w:pPr>
  </w:style>
  <w:style w:type="paragraph" w:customStyle="1" w:styleId="CorpoA">
    <w:name w:val="Corpo A"/>
    <w:rsid w:val="00EF075A"/>
    <w:pPr>
      <w:pBdr>
        <w:top w:val="nil"/>
        <w:left w:val="nil"/>
        <w:bottom w:val="nil"/>
        <w:right w:val="nil"/>
        <w:between w:val="nil"/>
        <w:bar w:val="nil"/>
      </w:pBdr>
      <w:spacing w:after="0" w:line="240" w:lineRule="auto"/>
    </w:pPr>
    <w:rPr>
      <w:rFonts w:ascii="Helvetica Neue" w:eastAsia="Helvetica Neue" w:hAnsi="Helvetica Neue" w:cs="Helvetica Neue"/>
      <w:color w:val="000000"/>
      <w:kern w:val="0"/>
      <w:u w:color="000000"/>
      <w:bdr w:val="nil"/>
      <w:lang w:eastAsia="it-IT"/>
      <w14:textOutline w14:w="0" w14:cap="flat" w14:cmpd="sng" w14:algn="ctr">
        <w14:noFill/>
        <w14:prstDash w14:val="solid"/>
        <w14:bevel/>
      </w14:textOutline>
      <w14:ligatures w14:val="none"/>
    </w:rPr>
  </w:style>
  <w:style w:type="numbering" w:customStyle="1" w:styleId="Numerato">
    <w:name w:val="Numerato"/>
    <w:rsid w:val="00484AB9"/>
    <w:pPr>
      <w:numPr>
        <w:numId w:val="3"/>
      </w:numPr>
    </w:pPr>
  </w:style>
  <w:style w:type="character" w:customStyle="1" w:styleId="Nessuno">
    <w:name w:val="Nessuno"/>
    <w:rsid w:val="00484AB9"/>
  </w:style>
  <w:style w:type="character" w:customStyle="1" w:styleId="Hyperlink0">
    <w:name w:val="Hyperlink.0"/>
    <w:basedOn w:val="Nessuno"/>
    <w:rsid w:val="00484AB9"/>
    <w:rPr>
      <w:rFonts w:ascii="Tahoma" w:eastAsia="Tahoma" w:hAnsi="Tahoma" w:cs="Tahoma"/>
      <w:outline w:val="0"/>
      <w:color w:val="000000"/>
      <w:u w:val="single" w:color="000000"/>
      <w:lang w:val="it-IT"/>
    </w:rPr>
  </w:style>
  <w:style w:type="numbering" w:customStyle="1" w:styleId="Stileimportato1">
    <w:name w:val="Stile importato 1"/>
    <w:rsid w:val="00484AB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6523">
      <w:bodyDiv w:val="1"/>
      <w:marLeft w:val="0"/>
      <w:marRight w:val="0"/>
      <w:marTop w:val="0"/>
      <w:marBottom w:val="0"/>
      <w:divBdr>
        <w:top w:val="none" w:sz="0" w:space="0" w:color="auto"/>
        <w:left w:val="none" w:sz="0" w:space="0" w:color="auto"/>
        <w:bottom w:val="none" w:sz="0" w:space="0" w:color="auto"/>
        <w:right w:val="none" w:sz="0" w:space="0" w:color="auto"/>
      </w:divBdr>
    </w:div>
    <w:div w:id="117070843">
      <w:bodyDiv w:val="1"/>
      <w:marLeft w:val="0"/>
      <w:marRight w:val="0"/>
      <w:marTop w:val="0"/>
      <w:marBottom w:val="0"/>
      <w:divBdr>
        <w:top w:val="none" w:sz="0" w:space="0" w:color="auto"/>
        <w:left w:val="none" w:sz="0" w:space="0" w:color="auto"/>
        <w:bottom w:val="none" w:sz="0" w:space="0" w:color="auto"/>
        <w:right w:val="none" w:sz="0" w:space="0" w:color="auto"/>
      </w:divBdr>
      <w:divsChild>
        <w:div w:id="718942722">
          <w:marLeft w:val="0"/>
          <w:marRight w:val="0"/>
          <w:marTop w:val="0"/>
          <w:marBottom w:val="0"/>
          <w:divBdr>
            <w:top w:val="none" w:sz="0" w:space="0" w:color="auto"/>
            <w:left w:val="none" w:sz="0" w:space="0" w:color="auto"/>
            <w:bottom w:val="none" w:sz="0" w:space="0" w:color="auto"/>
            <w:right w:val="none" w:sz="0" w:space="0" w:color="auto"/>
          </w:divBdr>
          <w:divsChild>
            <w:div w:id="5890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0202">
      <w:bodyDiv w:val="1"/>
      <w:marLeft w:val="0"/>
      <w:marRight w:val="0"/>
      <w:marTop w:val="0"/>
      <w:marBottom w:val="0"/>
      <w:divBdr>
        <w:top w:val="none" w:sz="0" w:space="0" w:color="auto"/>
        <w:left w:val="none" w:sz="0" w:space="0" w:color="auto"/>
        <w:bottom w:val="none" w:sz="0" w:space="0" w:color="auto"/>
        <w:right w:val="none" w:sz="0" w:space="0" w:color="auto"/>
      </w:divBdr>
      <w:divsChild>
        <w:div w:id="1280726235">
          <w:marLeft w:val="0"/>
          <w:marRight w:val="0"/>
          <w:marTop w:val="0"/>
          <w:marBottom w:val="0"/>
          <w:divBdr>
            <w:top w:val="none" w:sz="0" w:space="0" w:color="auto"/>
            <w:left w:val="none" w:sz="0" w:space="0" w:color="auto"/>
            <w:bottom w:val="none" w:sz="0" w:space="0" w:color="auto"/>
            <w:right w:val="none" w:sz="0" w:space="0" w:color="auto"/>
          </w:divBdr>
          <w:divsChild>
            <w:div w:id="166987510">
              <w:marLeft w:val="0"/>
              <w:marRight w:val="0"/>
              <w:marTop w:val="0"/>
              <w:marBottom w:val="0"/>
              <w:divBdr>
                <w:top w:val="none" w:sz="0" w:space="0" w:color="auto"/>
                <w:left w:val="none" w:sz="0" w:space="0" w:color="auto"/>
                <w:bottom w:val="none" w:sz="0" w:space="0" w:color="auto"/>
                <w:right w:val="none" w:sz="0" w:space="0" w:color="auto"/>
              </w:divBdr>
            </w:div>
            <w:div w:id="249314574">
              <w:marLeft w:val="0"/>
              <w:marRight w:val="0"/>
              <w:marTop w:val="0"/>
              <w:marBottom w:val="0"/>
              <w:divBdr>
                <w:top w:val="none" w:sz="0" w:space="0" w:color="auto"/>
                <w:left w:val="none" w:sz="0" w:space="0" w:color="auto"/>
                <w:bottom w:val="none" w:sz="0" w:space="0" w:color="auto"/>
                <w:right w:val="none" w:sz="0" w:space="0" w:color="auto"/>
              </w:divBdr>
            </w:div>
          </w:divsChild>
        </w:div>
        <w:div w:id="1223324664">
          <w:marLeft w:val="0"/>
          <w:marRight w:val="0"/>
          <w:marTop w:val="0"/>
          <w:marBottom w:val="0"/>
          <w:divBdr>
            <w:top w:val="none" w:sz="0" w:space="0" w:color="auto"/>
            <w:left w:val="none" w:sz="0" w:space="0" w:color="auto"/>
            <w:bottom w:val="none" w:sz="0" w:space="0" w:color="auto"/>
            <w:right w:val="none" w:sz="0" w:space="0" w:color="auto"/>
          </w:divBdr>
        </w:div>
      </w:divsChild>
    </w:div>
    <w:div w:id="354771277">
      <w:bodyDiv w:val="1"/>
      <w:marLeft w:val="0"/>
      <w:marRight w:val="0"/>
      <w:marTop w:val="0"/>
      <w:marBottom w:val="0"/>
      <w:divBdr>
        <w:top w:val="none" w:sz="0" w:space="0" w:color="auto"/>
        <w:left w:val="none" w:sz="0" w:space="0" w:color="auto"/>
        <w:bottom w:val="none" w:sz="0" w:space="0" w:color="auto"/>
        <w:right w:val="none" w:sz="0" w:space="0" w:color="auto"/>
      </w:divBdr>
    </w:div>
    <w:div w:id="621885369">
      <w:bodyDiv w:val="1"/>
      <w:marLeft w:val="0"/>
      <w:marRight w:val="0"/>
      <w:marTop w:val="0"/>
      <w:marBottom w:val="0"/>
      <w:divBdr>
        <w:top w:val="none" w:sz="0" w:space="0" w:color="auto"/>
        <w:left w:val="none" w:sz="0" w:space="0" w:color="auto"/>
        <w:bottom w:val="none" w:sz="0" w:space="0" w:color="auto"/>
        <w:right w:val="none" w:sz="0" w:space="0" w:color="auto"/>
      </w:divBdr>
    </w:div>
    <w:div w:id="670135542">
      <w:bodyDiv w:val="1"/>
      <w:marLeft w:val="0"/>
      <w:marRight w:val="0"/>
      <w:marTop w:val="0"/>
      <w:marBottom w:val="0"/>
      <w:divBdr>
        <w:top w:val="none" w:sz="0" w:space="0" w:color="auto"/>
        <w:left w:val="none" w:sz="0" w:space="0" w:color="auto"/>
        <w:bottom w:val="none" w:sz="0" w:space="0" w:color="auto"/>
        <w:right w:val="none" w:sz="0" w:space="0" w:color="auto"/>
      </w:divBdr>
    </w:div>
    <w:div w:id="756486934">
      <w:bodyDiv w:val="1"/>
      <w:marLeft w:val="0"/>
      <w:marRight w:val="0"/>
      <w:marTop w:val="0"/>
      <w:marBottom w:val="0"/>
      <w:divBdr>
        <w:top w:val="none" w:sz="0" w:space="0" w:color="auto"/>
        <w:left w:val="none" w:sz="0" w:space="0" w:color="auto"/>
        <w:bottom w:val="none" w:sz="0" w:space="0" w:color="auto"/>
        <w:right w:val="none" w:sz="0" w:space="0" w:color="auto"/>
      </w:divBdr>
    </w:div>
    <w:div w:id="760570494">
      <w:bodyDiv w:val="1"/>
      <w:marLeft w:val="0"/>
      <w:marRight w:val="0"/>
      <w:marTop w:val="0"/>
      <w:marBottom w:val="0"/>
      <w:divBdr>
        <w:top w:val="none" w:sz="0" w:space="0" w:color="auto"/>
        <w:left w:val="none" w:sz="0" w:space="0" w:color="auto"/>
        <w:bottom w:val="none" w:sz="0" w:space="0" w:color="auto"/>
        <w:right w:val="none" w:sz="0" w:space="0" w:color="auto"/>
      </w:divBdr>
      <w:divsChild>
        <w:div w:id="1198816252">
          <w:marLeft w:val="0"/>
          <w:marRight w:val="0"/>
          <w:marTop w:val="0"/>
          <w:marBottom w:val="0"/>
          <w:divBdr>
            <w:top w:val="none" w:sz="0" w:space="0" w:color="auto"/>
            <w:left w:val="none" w:sz="0" w:space="0" w:color="auto"/>
            <w:bottom w:val="none" w:sz="0" w:space="0" w:color="auto"/>
            <w:right w:val="none" w:sz="0" w:space="0" w:color="auto"/>
          </w:divBdr>
          <w:divsChild>
            <w:div w:id="963923247">
              <w:marLeft w:val="0"/>
              <w:marRight w:val="0"/>
              <w:marTop w:val="0"/>
              <w:marBottom w:val="0"/>
              <w:divBdr>
                <w:top w:val="none" w:sz="0" w:space="0" w:color="auto"/>
                <w:left w:val="none" w:sz="0" w:space="0" w:color="auto"/>
                <w:bottom w:val="none" w:sz="0" w:space="0" w:color="auto"/>
                <w:right w:val="none" w:sz="0" w:space="0" w:color="auto"/>
              </w:divBdr>
            </w:div>
            <w:div w:id="894048470">
              <w:marLeft w:val="0"/>
              <w:marRight w:val="0"/>
              <w:marTop w:val="0"/>
              <w:marBottom w:val="0"/>
              <w:divBdr>
                <w:top w:val="none" w:sz="0" w:space="0" w:color="auto"/>
                <w:left w:val="none" w:sz="0" w:space="0" w:color="auto"/>
                <w:bottom w:val="none" w:sz="0" w:space="0" w:color="auto"/>
                <w:right w:val="none" w:sz="0" w:space="0" w:color="auto"/>
              </w:divBdr>
            </w:div>
          </w:divsChild>
        </w:div>
        <w:div w:id="1449465635">
          <w:marLeft w:val="0"/>
          <w:marRight w:val="0"/>
          <w:marTop w:val="0"/>
          <w:marBottom w:val="0"/>
          <w:divBdr>
            <w:top w:val="none" w:sz="0" w:space="0" w:color="auto"/>
            <w:left w:val="none" w:sz="0" w:space="0" w:color="auto"/>
            <w:bottom w:val="none" w:sz="0" w:space="0" w:color="auto"/>
            <w:right w:val="none" w:sz="0" w:space="0" w:color="auto"/>
          </w:divBdr>
        </w:div>
      </w:divsChild>
    </w:div>
    <w:div w:id="764956408">
      <w:bodyDiv w:val="1"/>
      <w:marLeft w:val="0"/>
      <w:marRight w:val="0"/>
      <w:marTop w:val="0"/>
      <w:marBottom w:val="0"/>
      <w:divBdr>
        <w:top w:val="none" w:sz="0" w:space="0" w:color="auto"/>
        <w:left w:val="none" w:sz="0" w:space="0" w:color="auto"/>
        <w:bottom w:val="none" w:sz="0" w:space="0" w:color="auto"/>
        <w:right w:val="none" w:sz="0" w:space="0" w:color="auto"/>
      </w:divBdr>
    </w:div>
    <w:div w:id="806513274">
      <w:bodyDiv w:val="1"/>
      <w:marLeft w:val="0"/>
      <w:marRight w:val="0"/>
      <w:marTop w:val="0"/>
      <w:marBottom w:val="0"/>
      <w:divBdr>
        <w:top w:val="none" w:sz="0" w:space="0" w:color="auto"/>
        <w:left w:val="none" w:sz="0" w:space="0" w:color="auto"/>
        <w:bottom w:val="none" w:sz="0" w:space="0" w:color="auto"/>
        <w:right w:val="none" w:sz="0" w:space="0" w:color="auto"/>
      </w:divBdr>
      <w:divsChild>
        <w:div w:id="421487391">
          <w:marLeft w:val="0"/>
          <w:marRight w:val="0"/>
          <w:marTop w:val="0"/>
          <w:marBottom w:val="0"/>
          <w:divBdr>
            <w:top w:val="none" w:sz="0" w:space="0" w:color="auto"/>
            <w:left w:val="none" w:sz="0" w:space="0" w:color="auto"/>
            <w:bottom w:val="none" w:sz="0" w:space="0" w:color="auto"/>
            <w:right w:val="none" w:sz="0" w:space="0" w:color="auto"/>
          </w:divBdr>
          <w:divsChild>
            <w:div w:id="19330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145850">
      <w:bodyDiv w:val="1"/>
      <w:marLeft w:val="0"/>
      <w:marRight w:val="0"/>
      <w:marTop w:val="0"/>
      <w:marBottom w:val="0"/>
      <w:divBdr>
        <w:top w:val="none" w:sz="0" w:space="0" w:color="auto"/>
        <w:left w:val="none" w:sz="0" w:space="0" w:color="auto"/>
        <w:bottom w:val="none" w:sz="0" w:space="0" w:color="auto"/>
        <w:right w:val="none" w:sz="0" w:space="0" w:color="auto"/>
      </w:divBdr>
    </w:div>
    <w:div w:id="837616799">
      <w:bodyDiv w:val="1"/>
      <w:marLeft w:val="0"/>
      <w:marRight w:val="0"/>
      <w:marTop w:val="0"/>
      <w:marBottom w:val="0"/>
      <w:divBdr>
        <w:top w:val="none" w:sz="0" w:space="0" w:color="auto"/>
        <w:left w:val="none" w:sz="0" w:space="0" w:color="auto"/>
        <w:bottom w:val="none" w:sz="0" w:space="0" w:color="auto"/>
        <w:right w:val="none" w:sz="0" w:space="0" w:color="auto"/>
      </w:divBdr>
    </w:div>
    <w:div w:id="1008674098">
      <w:bodyDiv w:val="1"/>
      <w:marLeft w:val="0"/>
      <w:marRight w:val="0"/>
      <w:marTop w:val="0"/>
      <w:marBottom w:val="0"/>
      <w:divBdr>
        <w:top w:val="none" w:sz="0" w:space="0" w:color="auto"/>
        <w:left w:val="none" w:sz="0" w:space="0" w:color="auto"/>
        <w:bottom w:val="none" w:sz="0" w:space="0" w:color="auto"/>
        <w:right w:val="none" w:sz="0" w:space="0" w:color="auto"/>
      </w:divBdr>
      <w:divsChild>
        <w:div w:id="410346995">
          <w:marLeft w:val="0"/>
          <w:marRight w:val="0"/>
          <w:marTop w:val="0"/>
          <w:marBottom w:val="0"/>
          <w:divBdr>
            <w:top w:val="none" w:sz="0" w:space="0" w:color="auto"/>
            <w:left w:val="none" w:sz="0" w:space="0" w:color="auto"/>
            <w:bottom w:val="none" w:sz="0" w:space="0" w:color="auto"/>
            <w:right w:val="none" w:sz="0" w:space="0" w:color="auto"/>
          </w:divBdr>
          <w:divsChild>
            <w:div w:id="347606961">
              <w:marLeft w:val="0"/>
              <w:marRight w:val="0"/>
              <w:marTop w:val="0"/>
              <w:marBottom w:val="0"/>
              <w:divBdr>
                <w:top w:val="none" w:sz="0" w:space="0" w:color="auto"/>
                <w:left w:val="none" w:sz="0" w:space="0" w:color="auto"/>
                <w:bottom w:val="none" w:sz="0" w:space="0" w:color="auto"/>
                <w:right w:val="none" w:sz="0" w:space="0" w:color="auto"/>
              </w:divBdr>
            </w:div>
            <w:div w:id="11272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579715">
      <w:bodyDiv w:val="1"/>
      <w:marLeft w:val="0"/>
      <w:marRight w:val="0"/>
      <w:marTop w:val="0"/>
      <w:marBottom w:val="0"/>
      <w:divBdr>
        <w:top w:val="none" w:sz="0" w:space="0" w:color="auto"/>
        <w:left w:val="none" w:sz="0" w:space="0" w:color="auto"/>
        <w:bottom w:val="none" w:sz="0" w:space="0" w:color="auto"/>
        <w:right w:val="none" w:sz="0" w:space="0" w:color="auto"/>
      </w:divBdr>
      <w:divsChild>
        <w:div w:id="1818258839">
          <w:marLeft w:val="0"/>
          <w:marRight w:val="0"/>
          <w:marTop w:val="0"/>
          <w:marBottom w:val="0"/>
          <w:divBdr>
            <w:top w:val="none" w:sz="0" w:space="0" w:color="auto"/>
            <w:left w:val="none" w:sz="0" w:space="0" w:color="auto"/>
            <w:bottom w:val="none" w:sz="0" w:space="0" w:color="auto"/>
            <w:right w:val="none" w:sz="0" w:space="0" w:color="auto"/>
          </w:divBdr>
          <w:divsChild>
            <w:div w:id="1083180605">
              <w:marLeft w:val="0"/>
              <w:marRight w:val="0"/>
              <w:marTop w:val="0"/>
              <w:marBottom w:val="0"/>
              <w:divBdr>
                <w:top w:val="none" w:sz="0" w:space="0" w:color="auto"/>
                <w:left w:val="none" w:sz="0" w:space="0" w:color="auto"/>
                <w:bottom w:val="none" w:sz="0" w:space="0" w:color="auto"/>
                <w:right w:val="none" w:sz="0" w:space="0" w:color="auto"/>
              </w:divBdr>
            </w:div>
          </w:divsChild>
        </w:div>
        <w:div w:id="1361079392">
          <w:marLeft w:val="0"/>
          <w:marRight w:val="0"/>
          <w:marTop w:val="0"/>
          <w:marBottom w:val="0"/>
          <w:divBdr>
            <w:top w:val="none" w:sz="0" w:space="0" w:color="auto"/>
            <w:left w:val="none" w:sz="0" w:space="0" w:color="auto"/>
            <w:bottom w:val="none" w:sz="0" w:space="0" w:color="auto"/>
            <w:right w:val="none" w:sz="0" w:space="0" w:color="auto"/>
          </w:divBdr>
        </w:div>
      </w:divsChild>
    </w:div>
    <w:div w:id="1204903642">
      <w:bodyDiv w:val="1"/>
      <w:marLeft w:val="0"/>
      <w:marRight w:val="0"/>
      <w:marTop w:val="0"/>
      <w:marBottom w:val="0"/>
      <w:divBdr>
        <w:top w:val="none" w:sz="0" w:space="0" w:color="auto"/>
        <w:left w:val="none" w:sz="0" w:space="0" w:color="auto"/>
        <w:bottom w:val="none" w:sz="0" w:space="0" w:color="auto"/>
        <w:right w:val="none" w:sz="0" w:space="0" w:color="auto"/>
      </w:divBdr>
    </w:div>
    <w:div w:id="1215385137">
      <w:bodyDiv w:val="1"/>
      <w:marLeft w:val="0"/>
      <w:marRight w:val="0"/>
      <w:marTop w:val="0"/>
      <w:marBottom w:val="0"/>
      <w:divBdr>
        <w:top w:val="none" w:sz="0" w:space="0" w:color="auto"/>
        <w:left w:val="none" w:sz="0" w:space="0" w:color="auto"/>
        <w:bottom w:val="none" w:sz="0" w:space="0" w:color="auto"/>
        <w:right w:val="none" w:sz="0" w:space="0" w:color="auto"/>
      </w:divBdr>
      <w:divsChild>
        <w:div w:id="2063629436">
          <w:marLeft w:val="0"/>
          <w:marRight w:val="0"/>
          <w:marTop w:val="0"/>
          <w:marBottom w:val="0"/>
          <w:divBdr>
            <w:top w:val="none" w:sz="0" w:space="0" w:color="auto"/>
            <w:left w:val="none" w:sz="0" w:space="0" w:color="auto"/>
            <w:bottom w:val="none" w:sz="0" w:space="0" w:color="auto"/>
            <w:right w:val="none" w:sz="0" w:space="0" w:color="auto"/>
          </w:divBdr>
          <w:divsChild>
            <w:div w:id="66443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5659">
      <w:bodyDiv w:val="1"/>
      <w:marLeft w:val="0"/>
      <w:marRight w:val="0"/>
      <w:marTop w:val="0"/>
      <w:marBottom w:val="0"/>
      <w:divBdr>
        <w:top w:val="none" w:sz="0" w:space="0" w:color="auto"/>
        <w:left w:val="none" w:sz="0" w:space="0" w:color="auto"/>
        <w:bottom w:val="none" w:sz="0" w:space="0" w:color="auto"/>
        <w:right w:val="none" w:sz="0" w:space="0" w:color="auto"/>
      </w:divBdr>
      <w:divsChild>
        <w:div w:id="257058757">
          <w:marLeft w:val="0"/>
          <w:marRight w:val="0"/>
          <w:marTop w:val="0"/>
          <w:marBottom w:val="0"/>
          <w:divBdr>
            <w:top w:val="none" w:sz="0" w:space="0" w:color="auto"/>
            <w:left w:val="none" w:sz="0" w:space="0" w:color="auto"/>
            <w:bottom w:val="none" w:sz="0" w:space="0" w:color="auto"/>
            <w:right w:val="none" w:sz="0" w:space="0" w:color="auto"/>
          </w:divBdr>
          <w:divsChild>
            <w:div w:id="846560465">
              <w:marLeft w:val="0"/>
              <w:marRight w:val="0"/>
              <w:marTop w:val="0"/>
              <w:marBottom w:val="0"/>
              <w:divBdr>
                <w:top w:val="none" w:sz="0" w:space="0" w:color="auto"/>
                <w:left w:val="none" w:sz="0" w:space="0" w:color="auto"/>
                <w:bottom w:val="none" w:sz="0" w:space="0" w:color="auto"/>
                <w:right w:val="none" w:sz="0" w:space="0" w:color="auto"/>
              </w:divBdr>
            </w:div>
          </w:divsChild>
        </w:div>
        <w:div w:id="164825995">
          <w:marLeft w:val="0"/>
          <w:marRight w:val="0"/>
          <w:marTop w:val="0"/>
          <w:marBottom w:val="0"/>
          <w:divBdr>
            <w:top w:val="none" w:sz="0" w:space="0" w:color="auto"/>
            <w:left w:val="none" w:sz="0" w:space="0" w:color="auto"/>
            <w:bottom w:val="none" w:sz="0" w:space="0" w:color="auto"/>
            <w:right w:val="none" w:sz="0" w:space="0" w:color="auto"/>
          </w:divBdr>
        </w:div>
      </w:divsChild>
    </w:div>
    <w:div w:id="1558324545">
      <w:bodyDiv w:val="1"/>
      <w:marLeft w:val="0"/>
      <w:marRight w:val="0"/>
      <w:marTop w:val="0"/>
      <w:marBottom w:val="0"/>
      <w:divBdr>
        <w:top w:val="none" w:sz="0" w:space="0" w:color="auto"/>
        <w:left w:val="none" w:sz="0" w:space="0" w:color="auto"/>
        <w:bottom w:val="none" w:sz="0" w:space="0" w:color="auto"/>
        <w:right w:val="none" w:sz="0" w:space="0" w:color="auto"/>
      </w:divBdr>
    </w:div>
    <w:div w:id="1610240998">
      <w:bodyDiv w:val="1"/>
      <w:marLeft w:val="0"/>
      <w:marRight w:val="0"/>
      <w:marTop w:val="0"/>
      <w:marBottom w:val="0"/>
      <w:divBdr>
        <w:top w:val="none" w:sz="0" w:space="0" w:color="auto"/>
        <w:left w:val="none" w:sz="0" w:space="0" w:color="auto"/>
        <w:bottom w:val="none" w:sz="0" w:space="0" w:color="auto"/>
        <w:right w:val="none" w:sz="0" w:space="0" w:color="auto"/>
      </w:divBdr>
      <w:divsChild>
        <w:div w:id="1791194724">
          <w:marLeft w:val="0"/>
          <w:marRight w:val="0"/>
          <w:marTop w:val="0"/>
          <w:marBottom w:val="0"/>
          <w:divBdr>
            <w:top w:val="none" w:sz="0" w:space="0" w:color="auto"/>
            <w:left w:val="none" w:sz="0" w:space="0" w:color="auto"/>
            <w:bottom w:val="none" w:sz="0" w:space="0" w:color="auto"/>
            <w:right w:val="none" w:sz="0" w:space="0" w:color="auto"/>
          </w:divBdr>
          <w:divsChild>
            <w:div w:id="720903719">
              <w:marLeft w:val="0"/>
              <w:marRight w:val="0"/>
              <w:marTop w:val="0"/>
              <w:marBottom w:val="0"/>
              <w:divBdr>
                <w:top w:val="none" w:sz="0" w:space="0" w:color="auto"/>
                <w:left w:val="none" w:sz="0" w:space="0" w:color="auto"/>
                <w:bottom w:val="none" w:sz="0" w:space="0" w:color="auto"/>
                <w:right w:val="none" w:sz="0" w:space="0" w:color="auto"/>
              </w:divBdr>
            </w:div>
            <w:div w:id="1216969422">
              <w:marLeft w:val="0"/>
              <w:marRight w:val="0"/>
              <w:marTop w:val="0"/>
              <w:marBottom w:val="0"/>
              <w:divBdr>
                <w:top w:val="none" w:sz="0" w:space="0" w:color="auto"/>
                <w:left w:val="none" w:sz="0" w:space="0" w:color="auto"/>
                <w:bottom w:val="none" w:sz="0" w:space="0" w:color="auto"/>
                <w:right w:val="none" w:sz="0" w:space="0" w:color="auto"/>
              </w:divBdr>
            </w:div>
          </w:divsChild>
        </w:div>
        <w:div w:id="2135709391">
          <w:marLeft w:val="0"/>
          <w:marRight w:val="0"/>
          <w:marTop w:val="0"/>
          <w:marBottom w:val="0"/>
          <w:divBdr>
            <w:top w:val="none" w:sz="0" w:space="0" w:color="auto"/>
            <w:left w:val="none" w:sz="0" w:space="0" w:color="auto"/>
            <w:bottom w:val="none" w:sz="0" w:space="0" w:color="auto"/>
            <w:right w:val="none" w:sz="0" w:space="0" w:color="auto"/>
          </w:divBdr>
        </w:div>
      </w:divsChild>
    </w:div>
    <w:div w:id="1797748830">
      <w:bodyDiv w:val="1"/>
      <w:marLeft w:val="0"/>
      <w:marRight w:val="0"/>
      <w:marTop w:val="0"/>
      <w:marBottom w:val="0"/>
      <w:divBdr>
        <w:top w:val="none" w:sz="0" w:space="0" w:color="auto"/>
        <w:left w:val="none" w:sz="0" w:space="0" w:color="auto"/>
        <w:bottom w:val="none" w:sz="0" w:space="0" w:color="auto"/>
        <w:right w:val="none" w:sz="0" w:space="0" w:color="auto"/>
      </w:divBdr>
      <w:divsChild>
        <w:div w:id="2029090517">
          <w:marLeft w:val="0"/>
          <w:marRight w:val="0"/>
          <w:marTop w:val="0"/>
          <w:marBottom w:val="0"/>
          <w:divBdr>
            <w:top w:val="none" w:sz="0" w:space="0" w:color="auto"/>
            <w:left w:val="none" w:sz="0" w:space="0" w:color="auto"/>
            <w:bottom w:val="none" w:sz="0" w:space="0" w:color="auto"/>
            <w:right w:val="none" w:sz="0" w:space="0" w:color="auto"/>
          </w:divBdr>
          <w:divsChild>
            <w:div w:id="1231699674">
              <w:marLeft w:val="0"/>
              <w:marRight w:val="0"/>
              <w:marTop w:val="0"/>
              <w:marBottom w:val="0"/>
              <w:divBdr>
                <w:top w:val="none" w:sz="0" w:space="0" w:color="auto"/>
                <w:left w:val="none" w:sz="0" w:space="0" w:color="auto"/>
                <w:bottom w:val="none" w:sz="0" w:space="0" w:color="auto"/>
                <w:right w:val="none" w:sz="0" w:space="0" w:color="auto"/>
              </w:divBdr>
            </w:div>
            <w:div w:id="130705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668645">
      <w:bodyDiv w:val="1"/>
      <w:marLeft w:val="0"/>
      <w:marRight w:val="0"/>
      <w:marTop w:val="0"/>
      <w:marBottom w:val="0"/>
      <w:divBdr>
        <w:top w:val="none" w:sz="0" w:space="0" w:color="auto"/>
        <w:left w:val="none" w:sz="0" w:space="0" w:color="auto"/>
        <w:bottom w:val="none" w:sz="0" w:space="0" w:color="auto"/>
        <w:right w:val="none" w:sz="0" w:space="0" w:color="auto"/>
      </w:divBdr>
      <w:divsChild>
        <w:div w:id="1505851213">
          <w:marLeft w:val="0"/>
          <w:marRight w:val="0"/>
          <w:marTop w:val="0"/>
          <w:marBottom w:val="0"/>
          <w:divBdr>
            <w:top w:val="none" w:sz="0" w:space="0" w:color="auto"/>
            <w:left w:val="none" w:sz="0" w:space="0" w:color="auto"/>
            <w:bottom w:val="none" w:sz="0" w:space="0" w:color="auto"/>
            <w:right w:val="none" w:sz="0" w:space="0" w:color="auto"/>
          </w:divBdr>
          <w:divsChild>
            <w:div w:id="14235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82730">
      <w:bodyDiv w:val="1"/>
      <w:marLeft w:val="0"/>
      <w:marRight w:val="0"/>
      <w:marTop w:val="0"/>
      <w:marBottom w:val="0"/>
      <w:divBdr>
        <w:top w:val="none" w:sz="0" w:space="0" w:color="auto"/>
        <w:left w:val="none" w:sz="0" w:space="0" w:color="auto"/>
        <w:bottom w:val="none" w:sz="0" w:space="0" w:color="auto"/>
        <w:right w:val="none" w:sz="0" w:space="0" w:color="auto"/>
      </w:divBdr>
    </w:div>
    <w:div w:id="201669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a.unicz.it/corso_studio/odontoiatria_protesi_dentaria/regolamento_didatti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eb.unicz.it/it/page/tasse-universitarie" TargetMode="External"/><Relationship Id="rId12" Type="http://schemas.openxmlformats.org/officeDocument/2006/relationships/hyperlink" Target="http://web.unicz.it/it/page/associazioni-studentesch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icina.unicz.it/corso_studio/odontoiatria_protesi_dentaria" TargetMode="External"/><Relationship Id="rId11" Type="http://schemas.openxmlformats.org/officeDocument/2006/relationships/hyperlink" Target="http://web.unicz.it/it/page/international-relations" TargetMode="External"/><Relationship Id="rId5" Type="http://schemas.openxmlformats.org/officeDocument/2006/relationships/webSettings" Target="webSettings.xml"/><Relationship Id="rId10" Type="http://schemas.openxmlformats.org/officeDocument/2006/relationships/hyperlink" Target="http://medicina.unicz.it/corso_studio/odontoiatria_protesi_dentaria" TargetMode="External"/><Relationship Id="rId4" Type="http://schemas.openxmlformats.org/officeDocument/2006/relationships/settings" Target="settings.xml"/><Relationship Id="rId9" Type="http://schemas.openxmlformats.org/officeDocument/2006/relationships/hyperlink" Target="https://medicina.unicz.it/corso_studio/odontoiatria_protesi_dentaria/regolamento_didattico"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AF6BC-19BE-4FE2-B42C-2F0D990E0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34</Pages>
  <Words>15041</Words>
  <Characters>87840</Characters>
  <Application>Microsoft Office Word</Application>
  <DocSecurity>0</DocSecurity>
  <Lines>4880</Lines>
  <Paragraphs>2707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Leonzio Fortunato</dc:creator>
  <cp:keywords/>
  <dc:description/>
  <cp:lastModifiedBy>Leonzio Fortunato</cp:lastModifiedBy>
  <cp:revision>16</cp:revision>
  <cp:lastPrinted>2025-06-21T10:20:00Z</cp:lastPrinted>
  <dcterms:created xsi:type="dcterms:W3CDTF">2025-06-21T10:10:00Z</dcterms:created>
  <dcterms:modified xsi:type="dcterms:W3CDTF">2025-11-30T22:59:00Z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cba4c01e-6e44-4487-a38a-55353fbe3f27</vt:lpwstr>
  </property>
</Properties>
</file>