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w:p>
      <w:pPr>
        <w:jc w:val="center"/>
      </w:pPr>
      <w:r>
        <w:rPr>
          <w:rFonts w:ascii="Cambria" w:hAnsi="Cambria" w:asciiTheme="majorHAnsi" w:hAnsiTheme="majorHAnsi" w:eastAsiaTheme="majorEastAsia" w:cstheme="majorBidi"/>
          <w:b w:val="true"/>
          <w:bCs w:val="true"/>
          <w:color w:val="365F91" w:themeColor="accent1" w:themeShade="bf"/>
          <w:sz w:val="40"/>
          <w:szCs w:val="40"/>
        </w:rPr>
        <w:t>Syllabus Attività Formativa</w:t>
      </w:r>
    </w:p>
    <w:p/>
    <w:tb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blGrid>
        <w:gridCol w:w="3341"/>
        <w:gridCol w:w="10663"/>
      </w:tblGrid>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Anno Offerta</w:t>
            </w:r>
          </w:p>
        </w:tc>
        <w:tc>
          <w:p>
            <w:pPr>
              <w:rPr>
                <w:rFonts w:ascii="Arial" w:hAnsi="Arial" w:eastAsia="Times New Roman" w:cs="Times New Roman"/>
                <w:color w:val="000000"/>
              </w:rPr>
            </w:pPr>
            <w:r>
              <w:rPr>
                <w:rFonts w:ascii="Arial" w:hAnsi="Arial" w:eastAsia="Times New Roman" w:cs="Times New Roman"/>
                <w:color w:val="000000"/>
              </w:rPr>
              <w:t xml:space="preserve">2026</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Corso di Studio</w:t>
            </w:r>
          </w:p>
        </w:tc>
        <w:tc>
          <w:p>
            <w:pPr>
              <w:rPr>
                <w:rFonts w:ascii="Arial" w:hAnsi="Arial" w:eastAsia="Times New Roman" w:cs="Times New Roman"/>
                <w:color w:val="000000"/>
              </w:rPr>
            </w:pPr>
            <w:r>
              <w:rPr>
                <w:rFonts w:ascii="Arial" w:hAnsi="Arial" w:eastAsia="Times New Roman" w:cs="Times New Roman"/>
                <w:color w:val="000000"/>
              </w:rPr>
              <w:t xml:space="preserve">7580 - ODONTOIATRIA E PROTESI DENTARIA</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Regolamento Didattico</w:t>
            </w:r>
          </w:p>
        </w:tc>
        <w:tc>
          <w:p>
            <w:pPr>
              <w:rPr>
                <w:rFonts w:ascii="Arial" w:hAnsi="Arial" w:eastAsia="Times New Roman" w:cs="Times New Roman"/>
                <w:color w:val="000000"/>
              </w:rPr>
            </w:pPr>
            <w:r>
              <w:rPr>
                <w:rFonts w:ascii="Arial" w:hAnsi="Arial" w:eastAsia="Times New Roman" w:cs="Times New Roman"/>
                <w:color w:val="000000"/>
              </w:rPr>
              <w:t xml:space="preserve">7580-23-23</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Percorso di Studio</w:t>
            </w:r>
          </w:p>
        </w:tc>
        <w:tc>
          <w:p>
            <w:pPr>
              <w:rPr>
                <w:rFonts w:ascii="Arial" w:hAnsi="Arial" w:eastAsia="Times New Roman" w:cs="Times New Roman"/>
                <w:color w:val="000000"/>
              </w:rPr>
            </w:pPr>
            <w:r>
              <w:rPr>
                <w:rFonts w:ascii="Arial" w:hAnsi="Arial" w:eastAsia="Times New Roman" w:cs="Times New Roman"/>
                <w:color w:val="000000"/>
              </w:rPr>
              <w:t xml:space="preserve">GEN - corso_generico</w:t>
            </w:r>
          </w:p>
        </w:tc>
      </w:tr>
      <w:tr>
        <w:trPr>
          <w:trHeight w:val="6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Insegnamento/Modulo</w:t>
            </w:r>
          </w:p>
        </w:tc>
        <w:tc>
          <w:p>
            <w:pPr>
              <w:rPr>
                <w:rFonts w:ascii="Arial" w:hAnsi="Arial" w:eastAsia="Times New Roman" w:cs="Times New Roman"/>
                <w:color w:val="000000"/>
              </w:rPr>
            </w:pPr>
            <w:r>
              <w:rPr>
                <w:rFonts w:ascii="Arial" w:hAnsi="Arial" w:eastAsia="Times New Roman" w:cs="Times New Roman"/>
                <w:color w:val="000000"/>
              </w:rPr>
              <w:t xml:space="preserve">A003537 - ORTOGNATODONZIA I - </w:t>
            </w:r>
          </w:p>
        </w:tc>
      </w:tr>
      <w:tr>
        <w:trPr>
          <w:trHeight w:val="6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Attività Formativa Integrata</w:t>
            </w:r>
          </w:p>
        </w:tc>
        <w:tc>
          <w:p>
            <w:pPr>
              <w:rPr>
                <w:rFonts w:ascii="Arial" w:hAnsi="Arial" w:eastAsia="Times New Roman" w:cs="Times New Roman"/>
                <w:color w:val="000000"/>
              </w:rPr>
            </w:pPr>
            <w:r>
              <w:rPr>
                <w:rFonts w:ascii="Arial" w:hAnsi="Arial" w:eastAsia="Times New Roman" w:cs="Times New Roman"/>
                <w:color w:val="000000"/>
              </w:rPr>
              <w:t xml:space="preserve"> - </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Partizione Studenti</w:t>
            </w:r>
          </w:p>
        </w:tc>
        <w:tc>
          <w:p>
            <w:pPr>
              <w:rPr>
                <w:rFonts w:ascii="Arial" w:hAnsi="Arial" w:eastAsia="Times New Roman" w:cs="Times New Roman"/>
                <w:color w:val="000000"/>
              </w:rPr>
            </w:pPr>
            <w:r>
              <w:rPr>
                <w:rFonts w:ascii="Arial" w:hAnsi="Arial" w:eastAsia="Times New Roman" w:cs="Times New Roman"/>
                <w:color w:val="000000"/>
              </w:rPr>
              <w:t xml:space="preserve"> - </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Periodo Didattico</w:t>
            </w:r>
          </w:p>
        </w:tc>
        <w:tc>
          <w:p>
            <w:pPr>
              <w:rPr>
                <w:rFonts w:ascii="Arial" w:hAnsi="Arial" w:eastAsia="Times New Roman" w:cs="Times New Roman"/>
                <w:color w:val="000000"/>
              </w:rPr>
            </w:pPr>
            <w:r>
              <w:rPr>
                <w:rFonts w:ascii="Arial" w:hAnsi="Arial" w:eastAsia="Times New Roman" w:cs="Times New Roman"/>
                <w:color w:val="000000"/>
              </w:rPr>
              <w:t xml:space="preserve">S1 - Primo Ciclo Semestrale</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Sede</w:t>
            </w:r>
          </w:p>
        </w:tc>
        <w:tc>
          <w:p>
            <w:pPr>
              <w:rPr>
                <w:rFonts w:ascii="Arial" w:hAnsi="Arial" w:eastAsia="Times New Roman" w:cs="Times New Roman"/>
                <w:color w:val="000000"/>
              </w:rPr>
            </w:pPr>
            <w:r>
              <w:rPr>
                <w:rFonts w:ascii="Arial" w:hAnsi="Arial" w:eastAsia="Times New Roman" w:cs="Times New Roman"/>
                <w:color w:val="000000"/>
              </w:rPr>
              <w:t xml:space="preserve"/>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Anno Corso</w:t>
            </w:r>
          </w:p>
        </w:tc>
        <w:tc>
          <w:p>
            <w:pPr>
              <w:rPr>
                <w:rFonts w:ascii="Arial" w:hAnsi="Arial" w:eastAsia="Times New Roman" w:cs="Times New Roman"/>
                <w:color w:val="000000"/>
              </w:rPr>
            </w:pPr>
            <w:r>
              <w:rPr>
                <w:rFonts w:ascii="Arial" w:hAnsi="Arial" w:eastAsia="Times New Roman" w:cs="Times New Roman"/>
                <w:color w:val="000000"/>
              </w:rPr>
              <w:t xml:space="preserve">4</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Settore</w:t>
            </w:r>
          </w:p>
        </w:tc>
        <w:tc>
          <w:p>
            <w:pPr>
              <w:rPr>
                <w:rFonts w:ascii="Arial" w:hAnsi="Arial" w:eastAsia="Times New Roman" w:cs="Times New Roman"/>
                <w:color w:val="000000"/>
              </w:rPr>
            </w:pPr>
            <w:r>
              <w:rPr>
                <w:rFonts w:ascii="Arial" w:hAnsi="Arial" w:eastAsia="Times New Roman" w:cs="Times New Roman"/>
                <w:color w:val="000000"/>
              </w:rPr>
              <w:t xml:space="preserve">MED/28 - MALATTIE ODONTOSTOMATOLOGICHE</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Tipo attività Formativa</w:t>
            </w:r>
          </w:p>
        </w:tc>
        <w:tc>
          <w:p>
            <w:pPr>
              <w:rPr>
                <w:rFonts w:ascii="Arial" w:hAnsi="Arial" w:eastAsia="Times New Roman" w:cs="Times New Roman"/>
                <w:color w:val="000000"/>
              </w:rPr>
            </w:pPr>
            <w:r>
              <w:rPr>
                <w:rFonts w:ascii="Arial" w:hAnsi="Arial" w:eastAsia="Times New Roman" w:cs="Times New Roman"/>
                <w:color w:val="000000"/>
              </w:rPr>
              <w:t xml:space="preserve">B - Caratterizzante</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Ambito</w:t>
            </w:r>
          </w:p>
        </w:tc>
        <w:tc>
          <w:p>
            <w:pPr>
              <w:rPr>
                <w:rFonts w:ascii="Arial" w:hAnsi="Arial" w:eastAsia="Times New Roman" w:cs="Times New Roman"/>
                <w:color w:val="000000"/>
              </w:rPr>
            </w:pPr>
            <w:r>
              <w:rPr>
                <w:rFonts w:ascii="Arial" w:hAnsi="Arial" w:eastAsia="Times New Roman" w:cs="Times New Roman"/>
                <w:color w:val="000000"/>
              </w:rPr>
              <w:t xml:space="preserve">50448 - Discipline odontoiatriche e radiologiche</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CFU</w:t>
            </w:r>
          </w:p>
        </w:tc>
        <w:tc>
          <w:p>
            <w:pPr>
              <w:rPr>
                <w:rFonts w:ascii="Arial" w:hAnsi="Arial" w:eastAsia="Times New Roman" w:cs="Times New Roman"/>
                <w:color w:val="000000"/>
              </w:rPr>
            </w:pPr>
            <w:r>
              <w:rPr>
                <w:rFonts w:ascii="Arial" w:hAnsi="Arial" w:eastAsia="Times New Roman" w:cs="Times New Roman"/>
                <w:color w:val="000000"/>
              </w:rPr>
              <w:t xml:space="preserve">6.0</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Ore Attività Frontali</w:t>
            </w:r>
          </w:p>
        </w:tc>
        <w:tc>
          <w:p>
            <w:pPr>
              <w:rPr>
                <w:rFonts w:ascii="Arial" w:hAnsi="Arial" w:eastAsia="Times New Roman" w:cs="Times New Roman"/>
                <w:color w:val="000000"/>
              </w:rPr>
            </w:pPr>
            <w:r>
              <w:rPr>
                <w:rFonts w:ascii="Arial" w:hAnsi="Arial" w:eastAsia="Times New Roman" w:cs="Times New Roman"/>
                <w:color w:val="000000"/>
              </w:rPr>
              <w:t xml:space="preserve">78.0</w:t>
            </w:r>
          </w:p>
        </w:tc>
      </w:tr>
      <w:tr>
        <w:trPr>
          <w:trHeight w:val="300" w:hRule="exact"/>
        </w:trP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AF_ID</w:t>
            </w:r>
          </w:p>
        </w:tc>
        <w:tc>
          <w:p>
            <w:pPr>
              <w:rPr>
                <w:rFonts w:ascii="Arial" w:hAnsi="Arial" w:eastAsia="Times New Roman" w:cs="Times New Roman"/>
                <w:color w:val="000000"/>
              </w:rPr>
            </w:pPr>
            <w:r>
              <w:rPr>
                <w:rFonts w:ascii="Arial" w:hAnsi="Arial" w:eastAsia="Times New Roman" w:cs="Times New Roman"/>
                <w:color w:val="000000"/>
              </w:rPr>
              <w:t xml:space="preserve">175879</w:t>
            </w:r>
          </w:p>
        </w:tc>
      </w:tr>
    </w:tbl>
    <w:p/>
    <w:tb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blGrid>
        <w:gridCol w:w="1699"/>
        <w:gridCol w:w="1840"/>
        <w:gridCol w:w="1248"/>
        <w:gridCol w:w="533"/>
        <w:gridCol w:w="4348"/>
        <w:gridCol w:w="4336"/>
      </w:tblGrid>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Tipo Testo</w:t>
            </w:r>
          </w:p>
        </w:tc>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Codice Tipo Testo</w:t>
            </w:r>
          </w:p>
        </w:tc>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Num. Max. Caratteri</w:t>
            </w:r>
          </w:p>
        </w:tc>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Obbl.</w:t>
            </w:r>
          </w:p>
        </w:tc>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Testo in Italiano</w:t>
            </w:r>
          </w:p>
        </w:tc>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Testo in Inglese</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Lingua insegnamento</w:t>
            </w:r>
          </w:p>
        </w:tc>
        <w:tc>
          <w:p>
            <w:pPr>
              <w:rPr>
                <w:rFonts w:ascii="Arial" w:hAnsi="Arial" w:eastAsia="Times New Roman" w:cs="Times New Roman"/>
                <w:color w:val="000000"/>
              </w:rPr>
            </w:pPr>
            <w:r>
              <w:rPr>
                <w:rFonts w:ascii="Arial" w:hAnsi="Arial" w:eastAsia="Times New Roman" w:cs="Times New Roman"/>
                <w:color w:val="000000"/>
              </w:rPr>
              <w:t xml:space="preserve">LINGUA_INS</w:t>
            </w:r>
          </w:p>
        </w:tc>
        <w:tc>
          <w:p>
            <w:pPr>
              <w:rPr>
                <w:rFonts w:ascii="Arial" w:hAnsi="Arial" w:eastAsia="Times New Roman" w:cs="Times New Roman"/>
                <w:color w:val="000000"/>
              </w:rPr>
            </w:pPr>
            <w:r>
              <w:rPr>
                <w:rFonts w:ascii="Arial" w:hAnsi="Arial" w:eastAsia="Times New Roman" w:cs="Times New Roman"/>
                <w:color w:val="000000"/>
              </w:rPr>
              <w:t xml:space="preserve">100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Italiano</w:t>
            </w:r>
          </w:p>
        </w:tc>
        <w:tc>
          <w:p>
            <w:r>
              <w:t xml:space="preserve">Italian</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Contenuti</w:t>
            </w:r>
          </w:p>
        </w:tc>
        <w:tc>
          <w:p>
            <w:pPr>
              <w:rPr>
                <w:rFonts w:ascii="Arial" w:hAnsi="Arial" w:eastAsia="Times New Roman" w:cs="Times New Roman"/>
                <w:color w:val="000000"/>
              </w:rPr>
            </w:pPr>
            <w:r>
              <w:rPr>
                <w:rFonts w:ascii="Arial" w:hAnsi="Arial" w:eastAsia="Times New Roman" w:cs="Times New Roman"/>
                <w:color w:val="000000"/>
              </w:rPr>
              <w:t xml:space="preserve">CONTENUTI</w:t>
            </w:r>
          </w:p>
        </w:tc>
        <w:tc>
          <w:p>
            <w:pPr>
              <w:rPr>
                <w:rFonts w:ascii="Arial" w:hAnsi="Arial" w:eastAsia="Times New Roman" w:cs="Times New Roman"/>
                <w:color w:val="000000"/>
              </w:rPr>
            </w:pPr>
            <w:r>
              <w:rPr>
                <w:rFonts w:ascii="Arial" w:hAnsi="Arial" w:eastAsia="Times New Roman" w:cs="Times New Roman"/>
                <w:color w:val="000000"/>
              </w:rPr>
              <w:t xml:space="preserve">2000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Anamnesi ed esame obiettivo</w:t>
              <w:br/>
              <w:t xml:space="preserve"/>
              <w:br/>
              <w:t xml:space="preserve">Crescita craniofacciale</w:t>
              <w:br/>
              <w:t xml:space="preserve"/>
              <w:br/>
              <w:t xml:space="preserve">Analisi cefalometrica</w:t>
              <w:br/>
              <w:t xml:space="preserve"/>
              <w:br/>
              <w:t xml:space="preserve">Diagnosi occlusale</w:t>
              <w:br/>
              <w:t xml:space="preserve"/>
              <w:br/>
              <w:t xml:space="preserve">Movimenti dentari</w:t>
              <w:br/>
              <w:t xml:space="preserve"/>
              <w:br/>
              <w:t xml:space="preserve">Basi teoriche dell’ortodonzia intercettiva</w:t>
            </w:r>
          </w:p>
        </w:tc>
        <w:tc>
          <w:p>
            <w:r>
              <w:t xml:space="preserve">Medical history and physical examination</w:t>
              <w:br/>
              <w:t xml:space="preserve"/>
              <w:br/>
              <w:t xml:space="preserve">Craniofacial growth</w:t>
              <w:br/>
              <w:t xml:space="preserve"/>
              <w:br/>
              <w:t xml:space="preserve">Cephalometric analysis</w:t>
              <w:br/>
              <w:t xml:space="preserve"/>
              <w:br/>
              <w:t xml:space="preserve">Occlusal diagnosis</w:t>
              <w:br/>
              <w:t xml:space="preserve"/>
              <w:br/>
              <w:t xml:space="preserve">Tooth movement</w:t>
              <w:br/>
              <w:t xml:space="preserve"/>
              <w:br/>
              <w:t xml:space="preserve">Theoretical basis of interceptive orthodontics</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Testi di riferimento</w:t>
            </w:r>
          </w:p>
        </w:tc>
        <w:tc>
          <w:p>
            <w:pPr>
              <w:rPr>
                <w:rFonts w:ascii="Arial" w:hAnsi="Arial" w:eastAsia="Times New Roman" w:cs="Times New Roman"/>
                <w:color w:val="000000"/>
              </w:rPr>
            </w:pPr>
            <w:r>
              <w:rPr>
                <w:rFonts w:ascii="Arial" w:hAnsi="Arial" w:eastAsia="Times New Roman" w:cs="Times New Roman"/>
                <w:color w:val="000000"/>
              </w:rPr>
              <w:t xml:space="preserve">TESTI_RIF</w:t>
            </w:r>
          </w:p>
        </w:tc>
        <w:tc>
          <w:p>
            <w:pPr>
              <w:rPr>
                <w:rFonts w:ascii="Arial" w:hAnsi="Arial" w:eastAsia="Times New Roman" w:cs="Times New Roman"/>
                <w:color w:val="000000"/>
              </w:rPr>
            </w:pPr>
            <w:r>
              <w:rPr>
                <w:rFonts w:ascii="Arial" w:hAnsi="Arial" w:eastAsia="Times New Roman" w:cs="Times New Roman"/>
                <w:color w:val="000000"/>
              </w:rPr>
              <w:t xml:space="preserve">4000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ORTODONZIA MODERNA di Proffit W.R., Fields Jr. H.W., Larson B.E., Sarver D.M. – Edizioni Edra</w:t>
            </w:r>
          </w:p>
        </w:tc>
        <w:tc>
          <w:p>
            <w:r>
              <w:t xml:space="preserve">ORTODONZIA MODERNA di Proffit W.R., Fields Jr. H.W., Larson B.E., Sarver D.M. – Edizioni Edra</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Obiettivi formativi</w:t>
            </w:r>
          </w:p>
        </w:tc>
        <w:tc>
          <w:p>
            <w:pPr>
              <w:rPr>
                <w:rFonts w:ascii="Arial" w:hAnsi="Arial" w:eastAsia="Times New Roman" w:cs="Times New Roman"/>
                <w:color w:val="000000"/>
              </w:rPr>
            </w:pPr>
            <w:r>
              <w:rPr>
                <w:rFonts w:ascii="Arial" w:hAnsi="Arial" w:eastAsia="Times New Roman" w:cs="Times New Roman"/>
                <w:color w:val="000000"/>
              </w:rPr>
              <w:t xml:space="preserve">OBIETT_FORM</w:t>
            </w:r>
          </w:p>
        </w:tc>
        <w:tc>
          <w:p>
            <w:pPr>
              <w:rPr>
                <w:rFonts w:ascii="Arial" w:hAnsi="Arial" w:eastAsia="Times New Roman" w:cs="Times New Roman"/>
                <w:color w:val="000000"/>
              </w:rPr>
            </w:pPr>
            <w:r>
              <w:rPr>
                <w:rFonts w:ascii="Arial" w:hAnsi="Arial" w:eastAsia="Times New Roman" w:cs="Times New Roman"/>
                <w:color w:val="000000"/>
              </w:rPr>
              <w:t xml:space="preserve">4000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Il corso si propone di fornire le conoscenze fondamentali per una corretta diagnosi ortodontica e per l'inquadramento delle principali malocclusioni, attraverso lo studio della crescita craniofacciale, dell'analisi cefalometrica, dell'occlusione e dei principi biologici e biomeccanici dei movimenti dentari. Particolare attenzione sarà dedicata alle basi dell'ortodonzia intercettiva e al ruolo della funzione nello sviluppo delle malocclusioni, integrando la formazione teorica con attività seminariali di approfondimento clinico-scientifico.</w:t>
            </w:r>
          </w:p>
        </w:tc>
        <w:tc>
          <w:p>
            <w:r>
              <w:t xml:space="preserve">The course aims to provide the fundamental knowledge required for accurate orthodontic diagnosis and the classification of major malocclusions, covering craniofacial growth, cephalometric analysis, occlusion, and the biological and biomechanical principles of tooth movement. Particular attention will be paid to the foundations of interceptive orthodontics and the role of function in the development of malocclusions, integrating theoretical instruction with seminars focused on in-depth clinical and scientific study.</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Prerequisiti</w:t>
            </w:r>
          </w:p>
        </w:tc>
        <w:tc>
          <w:p>
            <w:pPr>
              <w:rPr>
                <w:rFonts w:ascii="Arial" w:hAnsi="Arial" w:eastAsia="Times New Roman" w:cs="Times New Roman"/>
                <w:color w:val="000000"/>
              </w:rPr>
            </w:pPr>
            <w:r>
              <w:rPr>
                <w:rFonts w:ascii="Arial" w:hAnsi="Arial" w:eastAsia="Times New Roman" w:cs="Times New Roman"/>
                <w:color w:val="000000"/>
              </w:rPr>
              <w:t xml:space="preserve">PREREQ</w:t>
            </w:r>
          </w:p>
        </w:tc>
        <w:tc>
          <w:p>
            <w:pPr>
              <w:rPr>
                <w:rFonts w:ascii="Arial" w:hAnsi="Arial" w:eastAsia="Times New Roman" w:cs="Times New Roman"/>
                <w:color w:val="000000"/>
              </w:rPr>
            </w:pPr>
            <w:r>
              <w:rPr>
                <w:rFonts w:ascii="Arial" w:hAnsi="Arial" w:eastAsia="Times New Roman" w:cs="Times New Roman"/>
                <w:color w:val="000000"/>
              </w:rPr>
              <w:t xml:space="preserve">500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Conoscenze di base di anatomia craniofacciale, odontoiatria e occlusione dentale. È richiesta una preparazione preliminare nelle discipline odontoiatriche fondamentali e familiarità con la terminologia clinica e radiografica.</w:t>
            </w:r>
          </w:p>
        </w:tc>
        <w:tc>
          <w:p>
            <w:r>
              <w:t xml:space="preserve">Basic knowledge of craniofacial anatomy, dentistry, and dental occlusion. Preliminary preparation in fundamental dental disciplines and familiarity with clinical and radiographic terminology are required.</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Metodi didattici</w:t>
            </w:r>
          </w:p>
        </w:tc>
        <w:tc>
          <w:p>
            <w:pPr>
              <w:rPr>
                <w:rFonts w:ascii="Arial" w:hAnsi="Arial" w:eastAsia="Times New Roman" w:cs="Times New Roman"/>
                <w:color w:val="000000"/>
              </w:rPr>
            </w:pPr>
            <w:r>
              <w:rPr>
                <w:rFonts w:ascii="Arial" w:hAnsi="Arial" w:eastAsia="Times New Roman" w:cs="Times New Roman"/>
                <w:color w:val="000000"/>
              </w:rPr>
              <w:t xml:space="preserve">METODI_DID</w:t>
            </w:r>
          </w:p>
        </w:tc>
        <w:tc>
          <w:p>
            <w:pPr>
              <w:rPr>
                <w:rFonts w:ascii="Arial" w:hAnsi="Arial" w:eastAsia="Times New Roman" w:cs="Times New Roman"/>
                <w:color w:val="000000"/>
              </w:rPr>
            </w:pPr>
            <w:r>
              <w:rPr>
                <w:rFonts w:ascii="Arial" w:hAnsi="Arial" w:eastAsia="Times New Roman" w:cs="Times New Roman"/>
                <w:color w:val="000000"/>
              </w:rPr>
              <w:t xml:space="preserve">500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Lezioni frontali; esercitazioni in presenza</w:t>
            </w:r>
          </w:p>
        </w:tc>
        <w:tc>
          <w:p>
            <w:r>
              <w:t xml:space="preserve">Lectures; practical exercises</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Altre informazioni</w:t>
            </w:r>
          </w:p>
        </w:tc>
        <w:tc>
          <w:p>
            <w:pPr>
              <w:rPr>
                <w:rFonts w:ascii="Arial" w:hAnsi="Arial" w:eastAsia="Times New Roman" w:cs="Times New Roman"/>
                <w:color w:val="000000"/>
              </w:rPr>
            </w:pPr>
            <w:r>
              <w:rPr>
                <w:rFonts w:ascii="Arial" w:hAnsi="Arial" w:eastAsia="Times New Roman" w:cs="Times New Roman"/>
                <w:color w:val="000000"/>
              </w:rPr>
              <w:t xml:space="preserve">ALTRO</w:t>
            </w:r>
          </w:p>
        </w:tc>
        <w:tc>
          <w:p>
            <w:pPr>
              <w:rPr>
                <w:rFonts w:ascii="Arial" w:hAnsi="Arial" w:eastAsia="Times New Roman" w:cs="Times New Roman"/>
                <w:color w:val="000000"/>
              </w:rPr>
            </w:pPr>
            <w:r>
              <w:rPr>
                <w:rFonts w:ascii="Arial" w:hAnsi="Arial" w:eastAsia="Times New Roman" w:cs="Times New Roman"/>
                <w:color w:val="000000"/>
              </w:rPr>
              <w:t xml:space="preserve">4000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Attività seminariali di approfondimento</w:t>
            </w:r>
          </w:p>
        </w:tc>
        <w:tc>
          <w:p>
            <w:r>
              <w:t xml:space="preserve">Seminars</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Modalità di verifica dell'apprendimento</w:t>
            </w:r>
          </w:p>
        </w:tc>
        <w:tc>
          <w:p>
            <w:pPr>
              <w:rPr>
                <w:rFonts w:ascii="Arial" w:hAnsi="Arial" w:eastAsia="Times New Roman" w:cs="Times New Roman"/>
                <w:color w:val="000000"/>
              </w:rPr>
            </w:pPr>
            <w:r>
              <w:rPr>
                <w:rFonts w:ascii="Arial" w:hAnsi="Arial" w:eastAsia="Times New Roman" w:cs="Times New Roman"/>
                <w:color w:val="000000"/>
              </w:rPr>
              <w:t xml:space="preserve">MOD_VER_APPR</w:t>
            </w:r>
          </w:p>
        </w:tc>
        <w:tc>
          <w:p>
            <w:pPr>
              <w:rPr>
                <w:rFonts w:ascii="Arial" w:hAnsi="Arial" w:eastAsia="Times New Roman" w:cs="Times New Roman"/>
                <w:color w:val="000000"/>
              </w:rPr>
            </w:pPr>
            <w:r>
              <w:rPr>
                <w:rFonts w:ascii="Arial" w:hAnsi="Arial" w:eastAsia="Times New Roman" w:cs="Times New Roman"/>
                <w:color w:val="000000"/>
              </w:rPr>
              <w:t xml:space="preserve">1000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Prova scritta: tracciato cefalometrico</w:t>
              <w:br/>
              <w:t xml:space="preserve">Prova orale</w:t>
            </w:r>
          </w:p>
        </w:tc>
        <w:tc>
          <w:p>
            <w:r>
              <w:t xml:space="preserve">Written exam: cephalometric tracing</w:t>
              <w:br/>
              <w:t xml:space="preserve">Oral exam</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Programma esteso</w:t>
            </w:r>
          </w:p>
        </w:tc>
        <w:tc>
          <w:p>
            <w:pPr>
              <w:rPr>
                <w:rFonts w:ascii="Arial" w:hAnsi="Arial" w:eastAsia="Times New Roman" w:cs="Times New Roman"/>
                <w:color w:val="000000"/>
              </w:rPr>
            </w:pPr>
            <w:r>
              <w:rPr>
                <w:rFonts w:ascii="Arial" w:hAnsi="Arial" w:eastAsia="Times New Roman" w:cs="Times New Roman"/>
                <w:color w:val="000000"/>
              </w:rPr>
              <w:t xml:space="preserve">PROGR_EST</w:t>
            </w:r>
          </w:p>
        </w:tc>
        <w:tc>
          <w:p>
            <w:pPr>
              <w:rPr>
                <w:rFonts w:ascii="Arial" w:hAnsi="Arial" w:eastAsia="Times New Roman" w:cs="Times New Roman"/>
                <w:color w:val="000000"/>
              </w:rPr>
            </w:pPr>
            <w:r>
              <w:rPr>
                <w:rFonts w:ascii="Arial" w:hAnsi="Arial" w:eastAsia="Times New Roman" w:cs="Times New Roman"/>
                <w:color w:val="000000"/>
              </w:rPr>
              <w:t xml:space="preserve">7000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 Anamnesi ed esame obiettivo</w:t>
              <w:br/>
              <w:t xml:space="preserve">Analisi extraorale</w:t>
              <w:br/>
              <w:t xml:space="preserve">Analisi intraorale</w:t>
              <w:br/>
              <w:t xml:space="preserve">Analisi radiografica</w:t>
              <w:br/>
              <w:t xml:space="preserve">Analisi dei modelli</w:t>
              <w:br/>
              <w:t xml:space="preserve"/>
              <w:br/>
              <w:t xml:space="preserve">- Crescita craniofacciale</w:t>
              <w:br/>
              <w:t xml:space="preserve">Siti e centri di crescita</w:t>
              <w:br/>
              <w:t xml:space="preserve">Teorie di crescita</w:t>
              <w:br/>
              <w:t xml:space="preserve">Maturazione scheletrica</w:t>
              <w:br/>
              <w:t xml:space="preserve"/>
              <w:br/>
              <w:t xml:space="preserve">- Analisi cefalometrica</w:t>
              <w:br/>
              <w:t xml:space="preserve">Segni di Bjork</w:t>
              <w:br/>
              <w:t xml:space="preserve">Strutture anatomiche</w:t>
              <w:br/>
              <w:t xml:space="preserve">Punti, piani e angoli del tracciato cefalometrico</w:t>
              <w:br/>
              <w:t xml:space="preserve">Diagnosi cefalometrica sagittale e verticale</w:t>
              <w:br/>
              <w:t xml:space="preserve"/>
              <w:br/>
              <w:t xml:space="preserve">- Diagnosi occlusale</w:t>
              <w:br/>
              <w:t xml:space="preserve">Le sei chiavi dell’occlusione</w:t>
              <w:br/>
              <w:t xml:space="preserve">Diagnosi trasversale: morso crociato, morso a forbice</w:t>
              <w:br/>
              <w:t xml:space="preserve">Diagnosi verticale: morso aperto, morso profondo</w:t>
              <w:br/>
              <w:t xml:space="preserve">Diagnosi sagittale: malocclusione di Classe I, II, III</w:t>
              <w:br/>
              <w:t xml:space="preserve"/>
              <w:br/>
              <w:t xml:space="preserve">- Movimenti dentari</w:t>
              <w:br/>
              <w:t xml:space="preserve">Biologia dei movimenti dentari </w:t>
              <w:br/>
              <w:t xml:space="preserve">Biomeccanica dei movimenti dentari</w:t>
              <w:br/>
              <w:t xml:space="preserve">Effetti indesiderati</w:t>
              <w:br/>
              <w:t xml:space="preserve"/>
              <w:br/>
              <w:t xml:space="preserve">- Basi teoriche dell’ortodonzia intercettiva</w:t>
              <w:br/>
              <w:t xml:space="preserve">Il ruolo della funzione come causa della malocclusione</w:t>
              <w:br/>
              <w:t xml:space="preserve"/>
              <w:br/>
              <w:t xml:space="preserve">- Disordini di eruzione</w:t>
              <w:br/>
              <w:t xml:space="preserve"/>
              <w:br/>
              <w:t xml:space="preserve">- Attività seminariali di approfondimento</w:t>
            </w:r>
          </w:p>
        </w:tc>
        <w:tc>
          <w:p>
            <w:r>
              <w:t xml:space="preserve">- Medical history and physical examination</w:t>
              <w:br/>
              <w:t xml:space="preserve">Extraoral analysis</w:t>
              <w:br/>
              <w:t xml:space="preserve">Intraoral analysis</w:t>
              <w:br/>
              <w:t xml:space="preserve">Radiographic analysis</w:t>
              <w:br/>
              <w:t xml:space="preserve">Model analysis</w:t>
              <w:br/>
              <w:t xml:space="preserve"/>
              <w:br/>
              <w:t xml:space="preserve">- Craniofacial growth</w:t>
              <w:br/>
              <w:t xml:space="preserve">Growth sites and centers</w:t>
              <w:br/>
              <w:t xml:space="preserve">Growth theories</w:t>
              <w:br/>
              <w:t xml:space="preserve">Skeletal maturation</w:t>
              <w:br/>
              <w:t xml:space="preserve"/>
              <w:br/>
              <w:t xml:space="preserve">- Cephalometric analysis</w:t>
              <w:br/>
              <w:t xml:space="preserve">Björk’s signs</w:t>
              <w:br/>
              <w:t xml:space="preserve">Anatomical structures</w:t>
              <w:br/>
              <w:t xml:space="preserve">Cephalometric tracing points, planes, and angles</w:t>
              <w:br/>
              <w:t xml:space="preserve">Sagittal and vertical cephalometric diagnosis</w:t>
              <w:br/>
              <w:t xml:space="preserve"/>
              <w:br/>
              <w:t xml:space="preserve">- Occlusal diagnosis</w:t>
              <w:br/>
              <w:t xml:space="preserve">The six keys to occlusion</w:t>
              <w:br/>
              <w:t xml:space="preserve">Transverse diagnosis: crossbite, scissor-bite</w:t>
              <w:br/>
              <w:t xml:space="preserve">Vertical diagnosis: open bite, deep bite</w:t>
              <w:br/>
              <w:t xml:space="preserve">Sagittal diagnosis: Class I, II, and III malocclusion</w:t>
              <w:br/>
              <w:t xml:space="preserve"/>
              <w:br/>
              <w:t xml:space="preserve">- Tooth movement</w:t>
              <w:br/>
              <w:t xml:space="preserve">Biology of tooth movement</w:t>
              <w:br/>
              <w:t xml:space="preserve">Biomechanics of tooth movement</w:t>
              <w:br/>
              <w:t xml:space="preserve">Undesirable effects</w:t>
              <w:br/>
              <w:t xml:space="preserve"/>
              <w:br/>
              <w:t xml:space="preserve">- Theoretical basis of interceptive orthodontics</w:t>
              <w:br/>
              <w:t xml:space="preserve">The role of function as a cause of malocclusion</w:t>
              <w:br/>
              <w:t xml:space="preserve">- Eruption disorders</w:t>
              <w:br/>
              <w:t xml:space="preserve">- Seminars</w:t>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Obiettivi Agenda 2030 per lo sviluppo sostenibile</w:t>
            </w:r>
          </w:p>
        </w:tc>
        <w:tc>
          <w:p>
            <w:pPr>
              <w:rPr>
                <w:rFonts w:ascii="Arial" w:hAnsi="Arial" w:eastAsia="Times New Roman" w:cs="Times New Roman"/>
                <w:color w:val="000000"/>
              </w:rPr>
            </w:pPr>
            <w:r>
              <w:rPr>
                <w:rFonts w:ascii="Arial" w:hAnsi="Arial" w:eastAsia="Times New Roman" w:cs="Times New Roman"/>
                <w:color w:val="000000"/>
              </w:rPr>
              <w:t xml:space="preserve">OB_SVIL_SOS</w:t>
            </w:r>
          </w:p>
        </w:tc>
        <w:tc>
          <w:p>
            <w:pPr>
              <w:rPr>
                <w:rFonts w:ascii="Arial" w:hAnsi="Arial" w:eastAsia="Times New Roman" w:cs="Times New Roman"/>
                <w:color w:val="000000"/>
              </w:rPr>
            </w:pPr>
            <w:r>
              <w:rPr>
                <w:rFonts w:ascii="Arial" w:hAnsi="Arial" w:eastAsia="Times New Roman" w:cs="Times New Roman"/>
                <w:color w:val="000000"/>
              </w:rPr>
              <w:t xml:space="preserve">4500</w:t>
            </w:r>
          </w:p>
        </w:tc>
        <w:tc>
          <w:p>
            <w:pPr>
              <w:rPr>
                <w:rFonts w:ascii="Arial" w:hAnsi="Arial" w:eastAsia="Times New Roman" w:cs="Times New Roman"/>
                <w:color w:val="000000"/>
              </w:rPr>
            </w:pPr>
            <w:r>
              <w:rPr>
                <w:rFonts w:ascii="Arial" w:hAnsi="Arial" w:eastAsia="Times New Roman" w:cs="Times New Roman"/>
                <w:color w:val="000000"/>
              </w:rPr>
              <w:t xml:space="preserve">No</w:t>
            </w:r>
          </w:p>
        </w:tc>
        <w:tc>
          <w:p>
            <w:r/>
          </w:p>
        </w:tc>
        <w:tc>
          <w:p>
            <w:r/>
          </w:p>
        </w:tc>
      </w:tr>
      <w:tr>
        <w:tc>
          <w:tcPr>
            <w:shd w:val="clear" w:color="auto" w:fill="F2F2F2" w:themeFill="background1" w:themeFillShade="F2"/>
          </w:tcPr>
          <w:p>
            <w:pPr>
              <w:rPr>
                <w:rFonts w:ascii="Arial" w:hAnsi="Arial" w:eastAsia="Times New Roman" w:cs="Times New Roman"/>
                <w:color w:val="000000"/>
              </w:rPr>
            </w:pPr>
            <w:r>
              <w:rPr>
                <w:rFonts w:ascii="Arial" w:hAnsi="Arial" w:eastAsia="Times New Roman" w:cs="Times New Roman"/>
                <w:b w:val="true"/>
                <w:bCs w:val="true"/>
                <w:color w:val="000000"/>
              </w:rPr>
              <w:t>Link docentev</w:t>
            </w:r>
          </w:p>
        </w:tc>
        <w:tc>
          <w:p>
            <w:pPr>
              <w:rPr>
                <w:rFonts w:ascii="Arial" w:hAnsi="Arial" w:eastAsia="Times New Roman" w:cs="Times New Roman"/>
                <w:color w:val="000000"/>
              </w:rPr>
            </w:pPr>
            <w:r>
              <w:rPr>
                <w:rFonts w:ascii="Arial" w:hAnsi="Arial" w:eastAsia="Times New Roman" w:cs="Times New Roman"/>
                <w:color w:val="000000"/>
              </w:rPr>
              <w:t xml:space="preserve">LINK</w:t>
            </w:r>
          </w:p>
        </w:tc>
        <w:tc>
          <w:p>
            <w:pPr>
              <w:rPr>
                <w:rFonts w:ascii="Arial" w:hAnsi="Arial" w:eastAsia="Times New Roman" w:cs="Times New Roman"/>
                <w:color w:val="000000"/>
              </w:rPr>
            </w:pPr>
            <w:r>
              <w:rPr>
                <w:rFonts w:ascii="Arial" w:hAnsi="Arial" w:eastAsia="Times New Roman" w:cs="Times New Roman"/>
                <w:color w:val="000000"/>
              </w:rPr>
              <w:t xml:space="preserve">1500</w:t>
            </w:r>
          </w:p>
        </w:tc>
        <w:tc>
          <w:p>
            <w:pPr>
              <w:rPr>
                <w:rFonts w:ascii="Arial" w:hAnsi="Arial" w:eastAsia="Times New Roman" w:cs="Times New Roman"/>
                <w:color w:val="000000"/>
              </w:rPr>
            </w:pPr>
            <w:r>
              <w:rPr>
                <w:rFonts w:ascii="Arial" w:hAnsi="Arial" w:eastAsia="Times New Roman" w:cs="Times New Roman"/>
                <w:color w:val="000000"/>
              </w:rPr>
              <w:t xml:space="preserve">Sì</w:t>
            </w:r>
          </w:p>
        </w:tc>
        <w:tc>
          <w:p>
            <w:r>
              <w:t xml:space="preserve">http://dss.unicz.it/personale/docente/amerigogiudice</w:t>
            </w:r>
          </w:p>
        </w:tc>
        <w:tc>
          <w:p>
            <w:r>
              <w:t xml:space="preserve">http://dss.unicz.it/personale/docente/amerigogiudice</w:t>
            </w:r>
          </w:p>
        </w:tc>
      </w:tr>
    </w:tbl>
    <w:sectPr>
      <w:pgSz w:w="16839" w:h="11907" w:orient="landscape"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lvl w:ilvl="0">
      <w:start w:val="1"/>
      <w:numFmt w:val="bullet"/>
      <w:lvlText w:val="°"/>
      <w:lvlJc w:val="left"/>
      <w:pPr>
        <w:tabs>
          <w:tab w:val="num" w:pos="720"/>
        </w:tabs>
        <w:ind w:left="720" w:hanging="360"/>
      </w:pPr>
      <w:rPr>
        <w:rFonts w:cs="Symbol"/>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2">
    <w:lvl w:ilvl="0">
      <w:start w:val="1"/>
      <w:numFmt w:val="decimal"/>
      <w:lvlText w:val="%1."/>
      <w:lvlJc w:val="left"/>
      <w:pPr>
        <w:tabs>
          <w:tab w:val="num" w:pos="720"/>
        </w:tabs>
        <w:ind w:left="720" w:hanging="360"/>
      </w:pPr>
      <w:rPr>
        <w:rFonts w:ascii="Verdana" w:hAnsi="Verdana"/>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3">
    <w:lvl w:ilvl="0">
      <w:start w:val="1"/>
      <w:numFmt w:val="bullet"/>
      <w:lvlText w:val="°"/>
      <w:lvlJc w:val="left"/>
      <w:pPr>
        <w:tabs>
          <w:tab w:val="num" w:pos="720"/>
        </w:tabs>
        <w:ind w:left="720" w:hanging="360"/>
      </w:pPr>
      <w:rPr>
        <w:rFonts w:cs="Symbol"/>
        <w:sz w:val="18"/>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